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r>
        <w:rPr>
          <w:b/>
          <w:bCs/>
          <w:color w:val="0F6E56"/>
          <w:sz w:val="24"/>
          <w:szCs w:val="24"/>
        </w:rPr>
        <w:t xml:space="preserve">Acuity WC Audit System</w:t>
      </w:r>
    </w:p>
    <w:p>
      <w:pPr>
        <w:spacing w:after="40"/>
      </w:pPr>
      <w:r>
        <w:rPr>
          <w:b/>
          <w:bCs/>
          <w:color w:val="1F3B4D"/>
          <w:sz w:val="44"/>
          <w:szCs w:val="44"/>
        </w:rPr>
        <w:t xml:space="preserve">Methodology Hardening Standards</w:t>
      </w:r>
    </w:p>
    <w:p>
      <w:pPr>
        <w:spacing w:after="200"/>
      </w:pPr>
      <w:r>
        <w:rPr>
          <w:color w:val="5F5E5A"/>
          <w:sz w:val="22"/>
          <w:szCs w:val="22"/>
        </w:rPr>
        <w:t xml:space="preserve">Operational standard  ·  v1.0  ·  decisions recorded</w:t>
      </w:r>
    </w:p>
    <w:p>
      <w:pPr>
        <w:spacing w:after="120"/>
      </w:pPr>
      <w:r>
        <w:rPr>
          <w:b w:val="false"/>
          <w:bCs w:val="false"/>
          <w:i w:val="false"/>
          <w:iCs w:val="false"/>
          <w:sz w:val="22"/>
          <w:szCs w:val="22"/>
        </w:rPr>
        <w:t xml:space="preserve">This document sets the five methodology-hardening standards for Acuity. Each standard is now operational: the values, thresholds, and placements you set are captured in a teal “Decisions — recorded” box at the end of each section. Items still marked [open] await a counterparty input (typically the client) or a process not yet formalized.</w:t>
      </w:r>
    </w:p>
    <w:p>
      <w:pPr>
        <w:spacing w:after="120"/>
      </w:pPr>
      <w:r>
        <w:rPr>
          <w:b w:val="false"/>
          <w:bCs w:val="false"/>
          <w:i/>
          <w:iCs/>
          <w:color w:val="5F5E5A"/>
          <w:sz w:val="22"/>
          <w:szCs w:val="22"/>
        </w:rPr>
        <w:t xml:space="preserve">The nine tool-level changes (the Effectiveness &amp; ROI loop and the Governance integrity items) have since been built into the Program Governance Register (v2) and the Program Audit Aggregator (v7); Appendix A records their delivery.</w:t>
      </w:r>
    </w:p>
    <w:p>
      <w:pPr>
        <w:pBdr>
          <w:bottom w:val="single" w:color="0F6E56" w:sz="10" w:space="4"/>
        </w:pBdr>
        <w:spacing w:after="140" w:before="60"/>
      </w:pPr>
      <w:r>
        <w:rPr>
          <w:b/>
          <w:bCs/>
          <w:color w:val="1F3B4D"/>
          <w:sz w:val="26"/>
          <w:szCs w:val="26"/>
        </w:rPr>
        <w:t xml:space="preserve">1.  Root-cause attribution standard</w:t>
      </w:r>
    </w:p>
    <w:p>
      <w:pPr>
        <w:spacing w:after="120"/>
      </w:pPr>
      <w:r>
        <w:rPr>
          <w:b/>
          <w:bCs/>
          <w:sz w:val="22"/>
          <w:szCs w:val="22"/>
        </w:rPr>
        <w:t xml:space="preserve">Why this exists.  </w:t>
      </w:r>
      <w:r>
        <w:rPr>
          <w:sz w:val="22"/>
          <w:szCs w:val="22"/>
        </w:rPr>
        <w:t xml:space="preserve">The entire diagnostic value of Acuity rests on assigning the correct root-cause code. Because that judgement is contestable, the taxonomy can drift into a blame-deflection engine — every miss argued down to “process” or “capacity.” This standard fixes each code to an evidentiary test and adds calibration so the codes mean the same thing across auditors and cycles.</w:t>
      </w:r>
    </w:p>
    <w:p>
      <w:pPr>
        <w:spacing w:after="120"/>
      </w:pPr>
      <w:r>
        <w:rPr>
          <w:b w:val="false"/>
          <w:bCs w:val="false"/>
          <w:i w:val="false"/>
          <w:iCs w:val="false"/>
          <w:sz w:val="22"/>
          <w:szCs w:val="22"/>
        </w:rPr>
        <w:t xml:space="preserve">The rule: a code may be assigned only when the evidence test below is met and the supporting evidence is on file. A single instance is coaching; a code is assigned to a pattern. The adjuster’s rebuttal may challenge a code assignment with counter-evidence.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00"/>
        <w:gridCol w:w="2900"/>
        <w:gridCol w:w="1300"/>
        <w:gridCol w:w="3660"/>
      </w:tblGrid>
      <w:tr>
        <w:tc>
          <w:tcPr>
            <w:tcW w:type="dxa" w:w="1500"/>
            <w:tcBorders>
              <w:top w:val="single" w:color="CCCCCC" w:sz="1"/>
              <w:left w:val="single" w:color="CCCCCC" w:sz="1"/>
              <w:bottom w:val="single" w:color="CCCCCC" w:sz="1"/>
              <w:right w:val="single" w:color="CCCCCC" w:sz="1"/>
            </w:tcBorders>
            <w:shd w:fill="E1F5EE" w:val="clear"/>
            <w:tcMar>
              <w:top w:type="dxa" w:w="80"/>
              <w:left w:type="dxa" w:w="120"/>
              <w:bottom w:type="dxa" w:w="80"/>
              <w:right w:type="dxa" w:w="120"/>
            </w:tcMar>
          </w:tcPr>
          <w:p>
            <w:r>
              <w:rPr>
                <w:b/>
                <w:bCs/>
                <w:color w:val="1F3B4D"/>
                <w:sz w:val="20"/>
                <w:szCs w:val="20"/>
              </w:rPr>
              <w:t xml:space="preserve">Code</w:t>
            </w:r>
          </w:p>
        </w:tc>
        <w:tc>
          <w:tcPr>
            <w:tcW w:type="dxa" w:w="2900"/>
            <w:tcBorders>
              <w:top w:val="single" w:color="CCCCCC" w:sz="1"/>
              <w:left w:val="single" w:color="CCCCCC" w:sz="1"/>
              <w:bottom w:val="single" w:color="CCCCCC" w:sz="1"/>
              <w:right w:val="single" w:color="CCCCCC" w:sz="1"/>
            </w:tcBorders>
            <w:shd w:fill="E1F5EE" w:val="clear"/>
            <w:tcMar>
              <w:top w:type="dxa" w:w="80"/>
              <w:left w:type="dxa" w:w="120"/>
              <w:bottom w:type="dxa" w:w="80"/>
              <w:right w:type="dxa" w:w="120"/>
            </w:tcMar>
          </w:tcPr>
          <w:p>
            <w:r>
              <w:rPr>
                <w:b/>
                <w:bCs/>
                <w:color w:val="1F3B4D"/>
                <w:sz w:val="20"/>
                <w:szCs w:val="20"/>
              </w:rPr>
              <w:t xml:space="preserve">What it means</w:t>
            </w:r>
          </w:p>
        </w:tc>
        <w:tc>
          <w:tcPr>
            <w:tcW w:type="dxa" w:w="1300"/>
            <w:tcBorders>
              <w:top w:val="single" w:color="CCCCCC" w:sz="1"/>
              <w:left w:val="single" w:color="CCCCCC" w:sz="1"/>
              <w:bottom w:val="single" w:color="CCCCCC" w:sz="1"/>
              <w:right w:val="single" w:color="CCCCCC" w:sz="1"/>
            </w:tcBorders>
            <w:shd w:fill="E1F5EE" w:val="clear"/>
            <w:tcMar>
              <w:top w:type="dxa" w:w="80"/>
              <w:left w:type="dxa" w:w="120"/>
              <w:bottom w:type="dxa" w:w="80"/>
              <w:right w:type="dxa" w:w="120"/>
            </w:tcMar>
          </w:tcPr>
          <w:p>
            <w:r>
              <w:rPr>
                <w:b/>
                <w:bCs/>
                <w:color w:val="1F3B4D"/>
                <w:sz w:val="20"/>
                <w:szCs w:val="20"/>
              </w:rPr>
              <w:t xml:space="preserve">Owner lane</w:t>
            </w:r>
          </w:p>
        </w:tc>
        <w:tc>
          <w:tcPr>
            <w:tcW w:type="dxa" w:w="3660"/>
            <w:tcBorders>
              <w:top w:val="single" w:color="CCCCCC" w:sz="1"/>
              <w:left w:val="single" w:color="CCCCCC" w:sz="1"/>
              <w:bottom w:val="single" w:color="CCCCCC" w:sz="1"/>
              <w:right w:val="single" w:color="CCCCCC" w:sz="1"/>
            </w:tcBorders>
            <w:shd w:fill="E1F5EE" w:val="clear"/>
            <w:tcMar>
              <w:top w:type="dxa" w:w="80"/>
              <w:left w:type="dxa" w:w="120"/>
              <w:bottom w:type="dxa" w:w="80"/>
              <w:right w:type="dxa" w:w="120"/>
            </w:tcMar>
          </w:tcPr>
          <w:p>
            <w:r>
              <w:rPr>
                <w:b/>
                <w:bCs/>
                <w:color w:val="1F3B4D"/>
                <w:sz w:val="20"/>
                <w:szCs w:val="20"/>
              </w:rPr>
              <w:t xml:space="preserve">Evidence required to assign</w:t>
            </w:r>
          </w:p>
        </w:tc>
      </w:tr>
      <w:tr>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Skill gap</w:t>
            </w:r>
          </w:p>
        </w:tc>
        <w:tc>
          <w:tcPr>
            <w:tcW w:type="dxa" w:w="2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Can’t reliably do a task they were trained on</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Adjuster</w:t>
            </w:r>
          </w:p>
        </w:tc>
        <w:tc>
          <w:tcPr>
            <w:tcW w:type="dxa" w:w="36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Pattern across files; capability was trained</w:t>
            </w:r>
          </w:p>
        </w:tc>
      </w:tr>
      <w:tr>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Knowledge deficit</w:t>
            </w:r>
          </w:p>
        </w:tc>
        <w:tc>
          <w:tcPr>
            <w:tcW w:type="dxa" w:w="2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Didn’t know / apply an accessible standard</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Adjuster</w:t>
            </w:r>
          </w:p>
        </w:tc>
        <w:tc>
          <w:tcPr>
            <w:tcW w:type="dxa" w:w="36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Standard existed and was reachable, not applied</w:t>
            </w:r>
          </w:p>
        </w:tc>
      </w:tr>
      <w:tr>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Process failure</w:t>
            </w:r>
          </w:p>
        </w:tc>
        <w:tc>
          <w:tcPr>
            <w:tcW w:type="dxa" w:w="2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The SOP/workflow itself produced the gap</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Sedgwick</w:t>
            </w:r>
          </w:p>
        </w:tc>
        <w:tc>
          <w:tcPr>
            <w:tcW w:type="dxa" w:w="36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Following the process as written caused it</w:t>
            </w:r>
          </w:p>
        </w:tc>
      </w:tr>
      <w:tr>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Capacity constraint</w:t>
            </w:r>
          </w:p>
        </w:tc>
        <w:tc>
          <w:tcPr>
            <w:tcW w:type="dxa" w:w="2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Work not completable at assigned volume</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Sedgwick</w:t>
            </w:r>
          </w:p>
        </w:tc>
        <w:tc>
          <w:tcPr>
            <w:tcW w:type="dxa" w:w="36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Caseload/time data supports infeasibility</w:t>
            </w:r>
          </w:p>
        </w:tc>
      </w:tr>
      <w:tr>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System limitation</w:t>
            </w:r>
          </w:p>
        </w:tc>
        <w:tc>
          <w:tcPr>
            <w:tcW w:type="dxa" w:w="2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Tool/platform/data prevented correct handling</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Sedgwick</w:t>
            </w:r>
          </w:p>
        </w:tc>
        <w:tc>
          <w:tcPr>
            <w:tcW w:type="dxa" w:w="36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Documented system constraint on file</w:t>
            </w:r>
          </w:p>
        </w:tc>
      </w:tr>
      <w:tr>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Leadership gap</w:t>
            </w:r>
          </w:p>
        </w:tc>
        <w:tc>
          <w:tcPr>
            <w:tcW w:type="dxa" w:w="2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Upstream direction/staffing/authority caused it</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Sedgwick</w:t>
            </w:r>
          </w:p>
        </w:tc>
        <w:tc>
          <w:tcPr>
            <w:tcW w:type="dxa" w:w="36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Decision or absence of decision evidenced</w:t>
            </w:r>
          </w:p>
        </w:tc>
      </w:tr>
      <w:tr>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Client-driven</w:t>
            </w:r>
          </w:p>
        </w:tc>
        <w:tc>
          <w:tcPr>
            <w:tcW w:type="dxa" w:w="2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Client process/data/RTW/instruction caused it</w:t>
            </w:r>
          </w:p>
        </w:tc>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Client</w:t>
            </w:r>
          </w:p>
        </w:tc>
        <w:tc>
          <w:tcPr>
            <w:tcW w:type="dxa" w:w="36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Corroborated client cause, not single instance</w:t>
            </w:r>
          </w:p>
        </w:tc>
      </w:tr>
    </w:tbl>
    <w:p>
      <w:pPr>
        <w:spacing w:after="60"/>
      </w:pPr>
      <w:r>
        <w:rPr>
          <w:b w:val="false"/>
          <w:bCs w:val="false"/>
          <w:i w:val="false"/>
          <w:iCs w:val="false"/>
          <w:sz w:val="22"/>
          <w:szCs w:val="22"/>
        </w:rPr>
        <w:t xml:space="preserve"/>
      </w:r>
    </w:p>
    <w:p>
      <w:pPr>
        <w:spacing w:after="120"/>
      </w:pPr>
      <w:r>
        <w:rPr>
          <w:b w:val="false"/>
          <w:bCs w:val="false"/>
          <w:i w:val="false"/>
          <w:iCs w:val="false"/>
          <w:sz w:val="22"/>
          <w:szCs w:val="22"/>
        </w:rPr>
        <w:t xml:space="preserve">Calibration protocol. A defined sample of audits is double-scored each cycle by a second reviewer. Code-level agreement is tracked; below the target, the codes in question are re-defined or re-trained before the next cycle. Disputes (including adjuster challenges) are adjudicated by a named third party, and the adjudication is recorded.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3FB99E" w:sz="4"/>
              <w:left w:val="single" w:color="3FB99E" w:sz="18"/>
              <w:bottom w:val="single" w:color="3FB99E" w:sz="4"/>
              <w:right w:val="single" w:color="3FB99E" w:sz="4"/>
            </w:tcBorders>
            <w:shd w:fill="E1F5EE" w:val="clear"/>
            <w:tcMar>
              <w:top w:type="dxa" w:w="120"/>
              <w:left w:type="dxa" w:w="160"/>
              <w:bottom w:type="dxa" w:w="120"/>
              <w:right w:type="dxa" w:w="140"/>
            </w:tcMar>
          </w:tcPr>
          <w:p>
            <w:pPr>
              <w:spacing w:after="90"/>
            </w:pPr>
            <w:r>
              <w:rPr>
                <w:b/>
                <w:bCs/>
                <w:color w:val="0F6E56"/>
                <w:sz w:val="22"/>
                <w:szCs w:val="22"/>
              </w:rPr>
              <w:t xml:space="preserve">Decisions — recorded</w:t>
            </w:r>
          </w:p>
          <w:p>
            <w:pPr>
              <w:pStyle w:val="ListParagraph"/>
              <w:numPr>
                <w:ilvl w:val="0"/>
                <w:numId w:val="2"/>
              </w:numPr>
              <w:spacing w:after="80"/>
            </w:pPr>
            <w:r>
              <w:rPr>
                <w:b/>
                <w:bCs/>
                <w:color w:val="1F3B4D"/>
                <w:sz w:val="21"/>
                <w:szCs w:val="21"/>
              </w:rPr>
              <w:t xml:space="preserve">Seven-code taxonomy:  </w:t>
            </w:r>
            <w:r>
              <w:rPr>
                <w:color w:val="333333"/>
                <w:sz w:val="21"/>
                <w:szCs w:val="21"/>
              </w:rPr>
              <w:t xml:space="preserve">adopted as listed — confirmed against the current taxonomy.</w:t>
            </w:r>
          </w:p>
          <w:p>
            <w:pPr>
              <w:pStyle w:val="ListParagraph"/>
              <w:numPr>
                <w:ilvl w:val="0"/>
                <w:numId w:val="2"/>
              </w:numPr>
              <w:spacing w:after="80"/>
            </w:pPr>
            <w:r>
              <w:rPr>
                <w:b/>
                <w:bCs/>
                <w:color w:val="1F3B4D"/>
                <w:sz w:val="21"/>
                <w:szCs w:val="21"/>
              </w:rPr>
              <w:t xml:space="preserve">Inter-rater agreement target:  </w:t>
            </w:r>
            <w:r>
              <w:rPr>
                <w:color w:val="333333"/>
                <w:sz w:val="21"/>
                <w:szCs w:val="21"/>
              </w:rPr>
              <w:t xml:space="preserve">80%. Below 80%, no remediation is triggered; the shortfall is recorded as “target not met” for that cycle.</w:t>
            </w:r>
          </w:p>
          <w:p>
            <w:pPr>
              <w:pStyle w:val="ListParagraph"/>
              <w:numPr>
                <w:ilvl w:val="0"/>
                <w:numId w:val="2"/>
              </w:numPr>
              <w:spacing w:after="80"/>
            </w:pPr>
            <w:r>
              <w:rPr>
                <w:b/>
                <w:bCs/>
                <w:color w:val="1F3B4D"/>
                <w:sz w:val="21"/>
                <w:szCs w:val="21"/>
              </w:rPr>
              <w:t xml:space="preserve">Calibration sampling:  </w:t>
            </w:r>
            <w:r>
              <w:rPr>
                <w:color w:val="333333"/>
                <w:sz w:val="21"/>
                <w:szCs w:val="21"/>
              </w:rPr>
              <w:t xml:space="preserve">10% of audits, every cycle.</w:t>
            </w:r>
          </w:p>
          <w:p>
            <w:pPr>
              <w:pStyle w:val="ListParagraph"/>
              <w:numPr>
                <w:ilvl w:val="0"/>
                <w:numId w:val="2"/>
              </w:numPr>
              <w:spacing w:after="80"/>
            </w:pPr>
            <w:r>
              <w:rPr>
                <w:b/>
                <w:bCs/>
                <w:color w:val="1F3B4D"/>
                <w:sz w:val="21"/>
                <w:szCs w:val="21"/>
              </w:rPr>
              <w:t xml:space="preserve">Adjudication of disputed codes:  </w:t>
            </w:r>
            <w:r>
              <w:rPr>
                <w:color w:val="333333"/>
                <w:sz w:val="21"/>
                <w:szCs w:val="21"/>
              </w:rPr>
              <w:t xml:space="preserve">the Analyst holds the deciding sign-off, recorded with a comment. Where a client disagrees without rationale, or overrides a recommendation, that is captured in the comment and the item stays on record.</w:t>
            </w:r>
          </w:p>
        </w:tc>
      </w:tr>
    </w:tbl>
    <w:p>
      <w:pPr>
        <w:pBdr>
          <w:bottom w:val="single" w:color="0F6E56" w:sz="10" w:space="4"/>
        </w:pBdr>
        <w:spacing w:after="140" w:before="60"/>
      </w:pPr>
      <w:r>
        <w:rPr>
          <w:b/>
          <w:bCs/>
          <w:color w:val="1F3B4D"/>
          <w:sz w:val="26"/>
          <w:szCs w:val="26"/>
        </w:rPr>
        <w:t xml:space="preserve">2.  Accountability-routing governance protocol</w:t>
      </w:r>
    </w:p>
    <w:p>
      <w:pPr>
        <w:spacing w:after="120"/>
      </w:pPr>
      <w:r>
        <w:rPr>
          <w:b/>
          <w:bCs/>
          <w:sz w:val="22"/>
          <w:szCs w:val="22"/>
        </w:rPr>
        <w:t xml:space="preserve">Why this exists.  </w:t>
      </w:r>
      <w:r>
        <w:rPr>
          <w:sz w:val="22"/>
          <w:szCs w:val="22"/>
        </w:rPr>
        <w:t xml:space="preserve">Routing a finding to the Client or Leadership lane is Acuity’s most powerful feature — and the one most able to damage a relationship if surfaced clumsily. This protocol sets the evidence bar, the sign-off, and the framing before any Client- or Leadership-coded finding leaves the building.</w:t>
      </w:r>
    </w:p>
    <w:p>
      <w:pPr>
        <w:pStyle w:val="ListParagraph"/>
        <w:numPr>
          <w:ilvl w:val="0"/>
          <w:numId w:val="3"/>
        </w:numPr>
        <w:spacing w:after="60"/>
      </w:pPr>
      <w:r>
        <w:rPr>
          <w:sz w:val="22"/>
          <w:szCs w:val="22"/>
        </w:rPr>
        <w:t xml:space="preserve">Evidence threshold: a Client- or Leadership-lane finding requires corroboration across multiple files or a defined share of the sample — a single instance is raised as an observation, not a routed finding.</w:t>
      </w:r>
    </w:p>
    <w:p>
      <w:pPr>
        <w:pStyle w:val="ListParagraph"/>
        <w:numPr>
          <w:ilvl w:val="0"/>
          <w:numId w:val="3"/>
        </w:numPr>
        <w:spacing w:after="60"/>
      </w:pPr>
      <w:r>
        <w:rPr>
          <w:sz w:val="22"/>
          <w:szCs w:val="22"/>
        </w:rPr>
        <w:t xml:space="preserve">Sign-off gate: such findings enter the Program Audit Report only after a named approver authorises them, separately for the client lane and the leadership lane.</w:t>
      </w:r>
    </w:p>
    <w:p>
      <w:pPr>
        <w:pStyle w:val="ListParagraph"/>
        <w:numPr>
          <w:ilvl w:val="0"/>
          <w:numId w:val="3"/>
        </w:numPr>
        <w:spacing w:after="60"/>
      </w:pPr>
      <w:r>
        <w:rPr>
          <w:sz w:val="22"/>
          <w:szCs w:val="22"/>
        </w:rPr>
        <w:t xml:space="preserve">Framing standard: written as observation + evidence + quantified impact + proposed shared action — never as blame. The client reads a problem you are helping solve, not an accusation.</w:t>
      </w:r>
    </w:p>
    <w:p>
      <w:pPr>
        <w:pStyle w:val="ListParagraph"/>
        <w:numPr>
          <w:ilvl w:val="0"/>
          <w:numId w:val="3"/>
        </w:numPr>
        <w:spacing w:after="60"/>
      </w:pPr>
      <w:r>
        <w:rPr>
          <w:sz w:val="22"/>
          <w:szCs w:val="22"/>
        </w:rPr>
        <w:t xml:space="preserve">Decline/defer interaction: a routed finding that is declined or repeatedly deferred is captured by the decline-rate-by-lane metric so it cannot be quietly buried.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3FB99E" w:sz="4"/>
              <w:left w:val="single" w:color="3FB99E" w:sz="18"/>
              <w:bottom w:val="single" w:color="3FB99E" w:sz="4"/>
              <w:right w:val="single" w:color="3FB99E" w:sz="4"/>
            </w:tcBorders>
            <w:shd w:fill="E1F5EE" w:val="clear"/>
            <w:tcMar>
              <w:top w:type="dxa" w:w="120"/>
              <w:left w:type="dxa" w:w="160"/>
              <w:bottom w:type="dxa" w:w="120"/>
              <w:right w:type="dxa" w:w="140"/>
            </w:tcMar>
          </w:tcPr>
          <w:p>
            <w:pPr>
              <w:spacing w:after="90"/>
            </w:pPr>
            <w:r>
              <w:rPr>
                <w:b/>
                <w:bCs/>
                <w:color w:val="0F6E56"/>
                <w:sz w:val="22"/>
                <w:szCs w:val="22"/>
              </w:rPr>
              <w:t xml:space="preserve">Decisions — recorded</w:t>
            </w:r>
          </w:p>
          <w:p>
            <w:pPr>
              <w:pStyle w:val="ListParagraph"/>
              <w:numPr>
                <w:ilvl w:val="0"/>
                <w:numId w:val="2"/>
              </w:numPr>
              <w:spacing w:after="80"/>
            </w:pPr>
            <w:r>
              <w:rPr>
                <w:b/>
                <w:bCs/>
                <w:color w:val="1F3B4D"/>
                <w:sz w:val="21"/>
                <w:szCs w:val="21"/>
              </w:rPr>
              <w:t xml:space="preserve">Corroboration threshold:  </w:t>
            </w:r>
            <w:r>
              <w:rPr>
                <w:color w:val="333333"/>
                <w:sz w:val="21"/>
                <w:szCs w:val="21"/>
              </w:rPr>
              <w:t xml:space="preserve">20% of the sample, with cumulative scoring — evidence may build across cycles toward the threshold, referencing prior-cycle results.</w:t>
            </w:r>
          </w:p>
          <w:p>
            <w:pPr>
              <w:pStyle w:val="ListParagraph"/>
              <w:numPr>
                <w:ilvl w:val="0"/>
                <w:numId w:val="2"/>
              </w:numPr>
              <w:spacing w:after="80"/>
            </w:pPr>
            <w:r>
              <w:rPr>
                <w:b/>
                <w:bCs/>
                <w:color w:val="1F3B4D"/>
                <w:sz w:val="21"/>
                <w:szCs w:val="21"/>
              </w:rPr>
              <w:t xml:space="preserve">Approver (client &amp; leadership lanes):  </w:t>
            </w:r>
            <w:r>
              <w:rPr>
                <w:color w:val="333333"/>
                <w:sz w:val="21"/>
                <w:szCs w:val="21"/>
              </w:rPr>
              <w:t xml:space="preserve">open attestation — signature, role, date, and comment. The program cannot compel client change; not acting carries inherent risk, and a clause addressing dismissal of audit recommendations is anticipated in the SLA / contract.</w:t>
            </w:r>
            <w:r>
              <w:rPr>
                <w:i/>
                <w:iCs/>
                <w:color w:val="633806"/>
                <w:sz w:val="19"/>
                <w:szCs w:val="19"/>
              </w:rPr>
              <w:t xml:space="preserve">   [open]</w:t>
            </w:r>
          </w:p>
          <w:p>
            <w:pPr>
              <w:pStyle w:val="ListParagraph"/>
              <w:numPr>
                <w:ilvl w:val="0"/>
                <w:numId w:val="2"/>
              </w:numPr>
              <w:spacing w:after="80"/>
            </w:pPr>
            <w:r>
              <w:rPr>
                <w:b/>
                <w:bCs/>
                <w:color w:val="1F3B4D"/>
                <w:sz w:val="21"/>
                <w:szCs w:val="21"/>
              </w:rPr>
              <w:t xml:space="preserve">Escalation when declined:  </w:t>
            </w:r>
            <w:r>
              <w:rPr>
                <w:color w:val="333333"/>
                <w:sz w:val="21"/>
                <w:szCs w:val="21"/>
              </w:rPr>
              <w:t xml:space="preserve">the lane’s internal process may run, but the item remains “Open” indefinitely in the register, tracking unresolved or un-acted recommendations.</w:t>
            </w:r>
          </w:p>
        </w:tc>
      </w:tr>
    </w:tbl>
    <w:p>
      <w:pPr>
        <w:pBdr>
          <w:bottom w:val="single" w:color="0F6E56" w:sz="10" w:space="4"/>
        </w:pBdr>
        <w:spacing w:after="140" w:before="60"/>
      </w:pPr>
      <w:r>
        <w:rPr>
          <w:b/>
          <w:bCs/>
          <w:color w:val="1F3B4D"/>
          <w:sz w:val="26"/>
          <w:szCs w:val="26"/>
        </w:rPr>
        <w:t xml:space="preserve">3.  Quantification &amp; ROI estimation standard</w:t>
      </w:r>
    </w:p>
    <w:p>
      <w:pPr>
        <w:spacing w:after="120"/>
      </w:pPr>
      <w:r>
        <w:rPr>
          <w:b/>
          <w:bCs/>
          <w:sz w:val="22"/>
          <w:szCs w:val="22"/>
        </w:rPr>
        <w:t xml:space="preserve">Why this exists.  </w:t>
      </w:r>
      <w:r>
        <w:rPr>
          <w:sz w:val="22"/>
          <w:szCs w:val="22"/>
        </w:rPr>
        <w:t xml:space="preserve">Dollar figures are persuasive in a pitch and the first thing a sophisticated buyer attacks. This standard makes every number either measured or defensibly estimated, and turns the estimate itself into a demonstration of analyst judgement rather than a soft spot.</w:t>
      </w:r>
    </w:p>
    <w:p>
      <w:pPr>
        <w:spacing w:after="80"/>
      </w:pPr>
      <w:r>
        <w:rPr>
          <w:b w:val="false"/>
          <w:bCs w:val="false"/>
          <w:i w:val="false"/>
          <w:iCs w:val="false"/>
          <w:sz w:val="22"/>
          <w:szCs w:val="22"/>
        </w:rPr>
        <w:t xml:space="preserve">Two layers apply to every commitment and call-to-action:</w:t>
      </w:r>
    </w:p>
    <w:p>
      <w:pPr>
        <w:pStyle w:val="ListParagraph"/>
        <w:numPr>
          <w:ilvl w:val="0"/>
          <w:numId w:val="3"/>
        </w:numPr>
        <w:spacing w:after="60"/>
      </w:pPr>
      <w:r>
        <w:rPr>
          <w:sz w:val="22"/>
          <w:szCs w:val="22"/>
        </w:rPr>
        <w:t xml:space="preserve">Layer 1 — directional effectiveness (the floor): the committed metric is measured against its target. Measured, not estimated. This is always present and always defensible.</w:t>
      </w:r>
    </w:p>
    <w:p>
      <w:pPr>
        <w:pStyle w:val="ListParagraph"/>
        <w:numPr>
          <w:ilvl w:val="0"/>
          <w:numId w:val="3"/>
        </w:numPr>
        <w:spacing w:after="60"/>
      </w:pPr>
      <w:r>
        <w:rPr>
          <w:sz w:val="22"/>
          <w:szCs w:val="22"/>
        </w:rPr>
        <w:t xml:space="preserve">Layer 2 — rationalized ROI estimate (optional, analyst-owned): a reasoned dollar estimate that must disclose its inputs, calculation basis, assumptions, and a confidence label. Conservative by default. No precise ROI figure may be stated without a documented basis.</w:t>
      </w:r>
    </w:p>
    <w:p>
      <w:pPr>
        <w:spacing w:after="120"/>
      </w:pPr>
      <w:r>
        <w:rPr>
          <w:b w:val="false"/>
          <w:bCs w:val="false"/>
          <w:i w:val="false"/>
          <w:iCs w:val="false"/>
          <w:sz w:val="22"/>
          <w:szCs w:val="22"/>
        </w:rPr>
        <w:t xml:space="preserve">The estimate is an analysis deliverable — the analyst presents the measured movement, then the reasoned ROI with assumptions stated, and defends it in the room. That is the role’s value made visible.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3FB99E" w:sz="4"/>
              <w:left w:val="single" w:color="3FB99E" w:sz="18"/>
              <w:bottom w:val="single" w:color="3FB99E" w:sz="4"/>
              <w:right w:val="single" w:color="3FB99E" w:sz="4"/>
            </w:tcBorders>
            <w:shd w:fill="E1F5EE" w:val="clear"/>
            <w:tcMar>
              <w:top w:type="dxa" w:w="120"/>
              <w:left w:type="dxa" w:w="160"/>
              <w:bottom w:type="dxa" w:w="120"/>
              <w:right w:type="dxa" w:w="140"/>
            </w:tcMar>
          </w:tcPr>
          <w:p>
            <w:pPr>
              <w:spacing w:after="90"/>
            </w:pPr>
            <w:r>
              <w:rPr>
                <w:b/>
                <w:bCs/>
                <w:color w:val="0F6E56"/>
                <w:sz w:val="22"/>
                <w:szCs w:val="22"/>
              </w:rPr>
              <w:t xml:space="preserve">Decisions — recorded</w:t>
            </w:r>
          </w:p>
          <w:p>
            <w:pPr>
              <w:pStyle w:val="ListParagraph"/>
              <w:numPr>
                <w:ilvl w:val="0"/>
                <w:numId w:val="2"/>
              </w:numPr>
              <w:spacing w:after="80"/>
            </w:pPr>
            <w:r>
              <w:rPr>
                <w:b/>
                <w:bCs/>
                <w:color w:val="1F3B4D"/>
                <w:sz w:val="21"/>
                <w:szCs w:val="21"/>
              </w:rPr>
              <w:t xml:space="preserve">Cost inputs:  </w:t>
            </w:r>
            <w:r>
              <w:rPr>
                <w:color w:val="333333"/>
                <w:sz w:val="21"/>
                <w:szCs w:val="21"/>
              </w:rPr>
              <w:t xml:space="preserve">analyst-selected and explained. The ROI box offers loaded hourly cost, average delta cost per claim type, and “other”; the analyst must select and justify the basis (open item, with rationalization).</w:t>
            </w:r>
          </w:p>
          <w:p>
            <w:pPr>
              <w:pStyle w:val="ListParagraph"/>
              <w:numPr>
                <w:ilvl w:val="0"/>
                <w:numId w:val="2"/>
              </w:numPr>
              <w:spacing w:after="80"/>
            </w:pPr>
            <w:r>
              <w:rPr>
                <w:b/>
                <w:bCs/>
                <w:color w:val="1F3B4D"/>
                <w:sz w:val="21"/>
                <w:szCs w:val="21"/>
              </w:rPr>
              <w:t xml:space="preserve">Confidence labels:  </w:t>
            </w:r>
            <w:r>
              <w:rPr>
                <w:color w:val="333333"/>
                <w:sz w:val="21"/>
                <w:szCs w:val="21"/>
              </w:rPr>
              <w:t xml:space="preserve">High / Indicative / Directional, each with a comments section.</w:t>
            </w:r>
          </w:p>
          <w:p>
            <w:pPr>
              <w:pStyle w:val="ListParagraph"/>
              <w:numPr>
                <w:ilvl w:val="0"/>
                <w:numId w:val="2"/>
              </w:numPr>
              <w:spacing w:after="80"/>
            </w:pPr>
            <w:r>
              <w:rPr>
                <w:b/>
                <w:bCs/>
                <w:color w:val="1F3B4D"/>
                <w:sz w:val="21"/>
                <w:szCs w:val="21"/>
              </w:rPr>
              <w:t xml:space="preserve">Review of a Layer-2 estimate:  </w:t>
            </w:r>
            <w:r>
              <w:rPr>
                <w:color w:val="333333"/>
                <w:sz w:val="21"/>
                <w:szCs w:val="21"/>
              </w:rPr>
              <w:t xml:space="preserve">an open approval — Name, Title, Date — is sufficient.</w:t>
            </w:r>
          </w:p>
        </w:tc>
      </w:tr>
    </w:tbl>
    <w:p>
      <w:pPr>
        <w:pBdr>
          <w:bottom w:val="single" w:color="0F6E56" w:sz="10" w:space="4"/>
        </w:pBdr>
        <w:spacing w:after="140" w:before="60"/>
      </w:pPr>
      <w:r>
        <w:rPr>
          <w:b/>
          <w:bCs/>
          <w:color w:val="1F3B4D"/>
          <w:sz w:val="26"/>
          <w:szCs w:val="26"/>
        </w:rPr>
        <w:t xml:space="preserve">4.  Audit sampling &amp; cadence framework</w:t>
      </w:r>
    </w:p>
    <w:p>
      <w:pPr>
        <w:spacing w:after="120"/>
      </w:pPr>
      <w:r>
        <w:rPr>
          <w:b/>
          <w:bCs/>
          <w:sz w:val="22"/>
          <w:szCs w:val="22"/>
        </w:rPr>
        <w:t xml:space="preserve">Why this exists.  </w:t>
      </w:r>
      <w:r>
        <w:rPr>
          <w:sz w:val="22"/>
          <w:szCs w:val="22"/>
        </w:rPr>
        <w:t xml:space="preserve">A 69-criterion audit plus rebuttal and analyst questions is a heavy lift. Across 1,794 open files and 20 adjusters, the program only works if the sample is both statistically meaningful and physically executable. The most common death of a good audit system is that nobody has time to run it.</w:t>
      </w:r>
    </w:p>
    <w:p>
      <w:pPr>
        <w:spacing w:after="80"/>
      </w:pPr>
      <w:r>
        <w:rPr>
          <w:b w:val="false"/>
          <w:bCs w:val="false"/>
          <w:i w:val="false"/>
          <w:iCs w:val="false"/>
          <w:sz w:val="22"/>
          <w:szCs w:val="22"/>
        </w:rPr>
        <w:t xml:space="preserve">Sampling design is a baseline random sample per adjuster. High-risk files are reviewed separately, outside the audit (see decisions below):</w:t>
      </w:r>
    </w:p>
    <w:p>
      <w:pPr>
        <w:pStyle w:val="ListParagraph"/>
        <w:numPr>
          <w:ilvl w:val="0"/>
          <w:numId w:val="3"/>
        </w:numPr>
        <w:spacing w:after="60"/>
      </w:pPr>
      <w:r>
        <w:rPr>
          <w:sz w:val="22"/>
          <w:szCs w:val="22"/>
        </w:rPr>
        <w:t xml:space="preserve">Baseline: a random sample per adjuster per cycle, sized for coverage.</w:t>
      </w:r>
    </w:p>
    <w:p>
      <w:pPr>
        <w:pStyle w:val="ListParagraph"/>
        <w:numPr>
          <w:ilvl w:val="0"/>
          <w:numId w:val="3"/>
        </w:numPr>
        <w:spacing w:after="60"/>
      </w:pPr>
      <w:r>
        <w:rPr>
          <w:sz w:val="22"/>
          <w:szCs w:val="22"/>
        </w:rPr>
        <w:t xml:space="preserve">Excluded from the audit: reopened, appealed/overturned, high-cost, aged, and probationary/new-hire files are reviewed by a separate Claims Committee — keeping specialized-risk review distinct from population-level quality diagnosis.</w:t>
      </w:r>
    </w:p>
    <w:p>
      <w:pPr>
        <w:spacing w:after="120"/>
      </w:pPr>
      <w:r>
        <w:rPr>
          <w:b w:val="false"/>
          <w:bCs w:val="false"/>
          <w:i w:val="false"/>
          <w:iCs w:val="false"/>
          <w:sz w:val="22"/>
          <w:szCs w:val="22"/>
        </w:rPr>
        <w:t xml:space="preserve">Volume reality check. Total audits per cycle = audits-per-adjuster × 20. Express that as a coverage percentage of the 1,794-file portfolio and as a time-to-full-coverage so the cadence is set with eyes open against auditor capacity (audits completable per auditor-day).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3FB99E" w:sz="4"/>
              <w:left w:val="single" w:color="3FB99E" w:sz="18"/>
              <w:bottom w:val="single" w:color="3FB99E" w:sz="4"/>
              <w:right w:val="single" w:color="3FB99E" w:sz="4"/>
            </w:tcBorders>
            <w:shd w:fill="E1F5EE" w:val="clear"/>
            <w:tcMar>
              <w:top w:type="dxa" w:w="120"/>
              <w:left w:type="dxa" w:w="160"/>
              <w:bottom w:type="dxa" w:w="120"/>
              <w:right w:type="dxa" w:w="140"/>
            </w:tcMar>
          </w:tcPr>
          <w:p>
            <w:pPr>
              <w:spacing w:after="90"/>
            </w:pPr>
            <w:r>
              <w:rPr>
                <w:b/>
                <w:bCs/>
                <w:color w:val="0F6E56"/>
                <w:sz w:val="22"/>
                <w:szCs w:val="22"/>
              </w:rPr>
              <w:t xml:space="preserve">Decisions — recorded</w:t>
            </w:r>
          </w:p>
          <w:p>
            <w:pPr>
              <w:pStyle w:val="ListParagraph"/>
              <w:numPr>
                <w:ilvl w:val="0"/>
                <w:numId w:val="2"/>
              </w:numPr>
              <w:spacing w:after="80"/>
            </w:pPr>
            <w:r>
              <w:rPr>
                <w:b/>
                <w:bCs/>
                <w:color w:val="1F3B4D"/>
                <w:sz w:val="21"/>
                <w:szCs w:val="21"/>
              </w:rPr>
              <w:t xml:space="preserve">Sample size:  </w:t>
            </w:r>
            <w:r>
              <w:rPr>
                <w:color w:val="333333"/>
                <w:sz w:val="21"/>
                <w:szCs w:val="21"/>
              </w:rPr>
              <w:t xml:space="preserve">8% of the open portfolio per quarter. On ~3,000 files (≈150 pending × 20 staff) that is ~240 per quarter ≈ 80/month ≈ 4 per working day — per analyst.</w:t>
            </w:r>
          </w:p>
          <w:p>
            <w:pPr>
              <w:pStyle w:val="ListParagraph"/>
              <w:numPr>
                <w:ilvl w:val="0"/>
                <w:numId w:val="2"/>
              </w:numPr>
              <w:spacing w:after="80"/>
            </w:pPr>
            <w:r>
              <w:rPr>
                <w:b/>
                <w:bCs/>
                <w:color w:val="1F3B4D"/>
                <w:sz w:val="21"/>
                <w:szCs w:val="21"/>
              </w:rPr>
              <w:t xml:space="preserve">Targeted strata:  </w:t>
            </w:r>
            <w:r>
              <w:rPr>
                <w:color w:val="333333"/>
                <w:sz w:val="21"/>
                <w:szCs w:val="21"/>
              </w:rPr>
              <w:t xml:space="preserve">excluded from the audit. New, high-cost, legal, and aged files are handled by a separate Claims Committee (or equivalent) outside Acuity — embedding them would raise the specialized-knowledge bar and dilute Lead / Manager accountability.</w:t>
            </w:r>
          </w:p>
          <w:p>
            <w:pPr>
              <w:pStyle w:val="ListParagraph"/>
              <w:numPr>
                <w:ilvl w:val="0"/>
                <w:numId w:val="2"/>
              </w:numPr>
              <w:spacing w:after="80"/>
            </w:pPr>
            <w:r>
              <w:rPr>
                <w:b/>
                <w:bCs/>
                <w:color w:val="1F3B4D"/>
                <w:sz w:val="21"/>
                <w:szCs w:val="21"/>
              </w:rPr>
              <w:t xml:space="preserve">Cycle:  </w:t>
            </w:r>
            <w:r>
              <w:rPr>
                <w:color w:val="333333"/>
                <w:sz w:val="21"/>
                <w:szCs w:val="21"/>
              </w:rPr>
              <w:t xml:space="preserve">quarterly, with loop closures for outstanding process improvements, ROI reports, and accountability updates.</w:t>
            </w:r>
          </w:p>
          <w:p>
            <w:pPr>
              <w:pStyle w:val="ListParagraph"/>
              <w:numPr>
                <w:ilvl w:val="0"/>
                <w:numId w:val="2"/>
              </w:numPr>
              <w:spacing w:after="80"/>
            </w:pPr>
            <w:r>
              <w:rPr>
                <w:b/>
                <w:bCs/>
                <w:color w:val="1F3B4D"/>
                <w:sz w:val="21"/>
                <w:szCs w:val="21"/>
              </w:rPr>
              <w:t xml:space="preserve">Auditor capacity:  </w:t>
            </w:r>
            <w:r>
              <w:rPr>
                <w:color w:val="333333"/>
                <w:sz w:val="21"/>
                <w:szCs w:val="21"/>
              </w:rPr>
              <w:t xml:space="preserve">4 audits per auditor-day (revisitable). Flagged as labour-intensive given the back-end governance load.</w:t>
            </w:r>
          </w:p>
        </w:tc>
      </w:tr>
    </w:tbl>
    <w:p>
      <w:pPr>
        <w:pBdr>
          <w:bottom w:val="single" w:color="0F6E56" w:sz="10" w:space="4"/>
        </w:pBdr>
        <w:spacing w:after="140" w:before="60"/>
      </w:pPr>
      <w:r>
        <w:rPr>
          <w:b/>
          <w:bCs/>
          <w:color w:val="1F3B4D"/>
          <w:sz w:val="26"/>
          <w:szCs w:val="26"/>
        </w:rPr>
        <w:t xml:space="preserve">5.  Independence &amp; defensibility standard</w:t>
      </w:r>
    </w:p>
    <w:p>
      <w:pPr>
        <w:spacing w:after="120"/>
      </w:pPr>
      <w:r>
        <w:rPr>
          <w:b/>
          <w:bCs/>
          <w:sz w:val="22"/>
          <w:szCs w:val="22"/>
        </w:rPr>
        <w:t xml:space="preserve">Why this exists.  </w:t>
      </w:r>
      <w:r>
        <w:rPr>
          <w:sz w:val="22"/>
          <w:szCs w:val="22"/>
        </w:rPr>
        <w:t xml:space="preserve">Audit credibility depends on perceived independence, and because Acuity findings can feed the progressive-intervention process, the scoring must be consistent and documented enough to survive a grievance or human-rights challenge. Two exposures: who audits the auditor, and whether a finding used in a performance action would hold up.</w:t>
      </w:r>
    </w:p>
    <w:p>
      <w:pPr>
        <w:pStyle w:val="ListParagraph"/>
        <w:numPr>
          <w:ilvl w:val="0"/>
          <w:numId w:val="3"/>
        </w:numPr>
        <w:spacing w:after="60"/>
      </w:pPr>
      <w:r>
        <w:rPr>
          <w:sz w:val="22"/>
          <w:szCs w:val="22"/>
        </w:rPr>
        <w:t xml:space="preserve">Independence: the analyst/auditor function should report on a line separable from the one managing the audited adjusters; a sample of audits is periodically peer- or externally reviewed (“who audits the auditor”).</w:t>
      </w:r>
    </w:p>
    <w:p>
      <w:pPr>
        <w:pStyle w:val="ListParagraph"/>
        <w:numPr>
          <w:ilvl w:val="0"/>
          <w:numId w:val="3"/>
        </w:numPr>
        <w:spacing w:after="60"/>
      </w:pPr>
      <w:r>
        <w:rPr>
          <w:sz w:val="22"/>
          <w:szCs w:val="22"/>
        </w:rPr>
        <w:t xml:space="preserve">Documentation standard: any finding that may inform performance management must carry on-file evidence, a consistently applied score, the adjuster’s recorded rebuttal, and confirmation that calibration (Standard 1) was applied.</w:t>
      </w:r>
    </w:p>
    <w:p>
      <w:pPr>
        <w:pStyle w:val="ListParagraph"/>
        <w:numPr>
          <w:ilvl w:val="0"/>
          <w:numId w:val="3"/>
        </w:numPr>
        <w:spacing w:after="60"/>
      </w:pPr>
      <w:r>
        <w:rPr>
          <w:sz w:val="22"/>
          <w:szCs w:val="22"/>
        </w:rPr>
        <w:t xml:space="preserve">Separation of purpose: Acuity findings inform performance conversations — they do not auto-trigger them. The link between a finding and any intervention is a documented human decision, keeping the process HR-defensible.</w:t>
      </w:r>
    </w:p>
    <w:p>
      <w:pPr>
        <w:spacing w:after="80"/>
      </w:pPr>
      <w:r>
        <w:rPr>
          <w:b w:val="false"/>
          <w:bCs w:val="false"/>
          <w:i w:val="false"/>
          <w:iCs w:val="false"/>
          <w:sz w:val="22"/>
          <w:szCs w:val="22"/>
        </w:rPr>
        <w:t xml:space="preserve">Documentation checklist (proposed). Before any finding may inform a performance action, the file should carry:</w:t>
      </w:r>
    </w:p>
    <w:p>
      <w:pPr>
        <w:pStyle w:val="ListParagraph"/>
        <w:numPr>
          <w:ilvl w:val="0"/>
          <w:numId w:val="3"/>
        </w:numPr>
        <w:spacing w:after="60"/>
      </w:pPr>
      <w:r>
        <w:rPr>
          <w:sz w:val="22"/>
          <w:szCs w:val="22"/>
        </w:rPr>
        <w:t xml:space="preserve">The root-cause code assigned, and the specific Standard 1 evidence test it satisfied.</w:t>
      </w:r>
    </w:p>
    <w:p>
      <w:pPr>
        <w:pStyle w:val="ListParagraph"/>
        <w:numPr>
          <w:ilvl w:val="0"/>
          <w:numId w:val="3"/>
        </w:numPr>
        <w:spacing w:after="60"/>
      </w:pPr>
      <w:r>
        <w:rPr>
          <w:sz w:val="22"/>
          <w:szCs w:val="22"/>
        </w:rPr>
        <w:t xml:space="preserve">The underlying evidence on file — the files, excerpts, or data establishing the pattern.</w:t>
      </w:r>
    </w:p>
    <w:p>
      <w:pPr>
        <w:pStyle w:val="ListParagraph"/>
        <w:numPr>
          <w:ilvl w:val="0"/>
          <w:numId w:val="3"/>
        </w:numPr>
        <w:spacing w:after="60"/>
      </w:pPr>
      <w:r>
        <w:rPr>
          <w:sz w:val="22"/>
          <w:szCs w:val="22"/>
        </w:rPr>
        <w:t xml:space="preserve">Confirmation it is a pattern, not a single instance (meets the assignment bar).</w:t>
      </w:r>
    </w:p>
    <w:p>
      <w:pPr>
        <w:pStyle w:val="ListParagraph"/>
        <w:numPr>
          <w:ilvl w:val="0"/>
          <w:numId w:val="3"/>
        </w:numPr>
        <w:spacing w:after="60"/>
      </w:pPr>
      <w:r>
        <w:rPr>
          <w:sz w:val="22"/>
          <w:szCs w:val="22"/>
        </w:rPr>
        <w:t xml:space="preserve">The score, applied consistently against the published criteria.</w:t>
      </w:r>
    </w:p>
    <w:p>
      <w:pPr>
        <w:pStyle w:val="ListParagraph"/>
        <w:numPr>
          <w:ilvl w:val="0"/>
          <w:numId w:val="3"/>
        </w:numPr>
        <w:spacing w:after="60"/>
      </w:pPr>
      <w:r>
        <w:rPr>
          <w:sz w:val="22"/>
          <w:szCs w:val="22"/>
        </w:rPr>
        <w:t xml:space="preserve">The adjuster’s recorded rebuttal (or documented opportunity to respond) and the analyst’s reply.</w:t>
      </w:r>
    </w:p>
    <w:p>
      <w:pPr>
        <w:pStyle w:val="ListParagraph"/>
        <w:numPr>
          <w:ilvl w:val="0"/>
          <w:numId w:val="3"/>
        </w:numPr>
        <w:spacing w:after="60"/>
      </w:pPr>
      <w:r>
        <w:rPr>
          <w:sz w:val="22"/>
          <w:szCs w:val="22"/>
        </w:rPr>
        <w:t xml:space="preserve">Confirmation that calibration (Standard 1) was in effect for the cycle.</w:t>
      </w:r>
    </w:p>
    <w:p>
      <w:pPr>
        <w:pStyle w:val="ListParagraph"/>
        <w:numPr>
          <w:ilvl w:val="0"/>
          <w:numId w:val="3"/>
        </w:numPr>
        <w:spacing w:after="60"/>
      </w:pPr>
      <w:r>
        <w:rPr>
          <w:sz w:val="22"/>
          <w:szCs w:val="22"/>
        </w:rPr>
        <w:t xml:space="preserve">A named, dated analyst sign-off.</w:t>
      </w:r>
    </w:p>
    <w:p>
      <w:pPr>
        <w:pStyle w:val="ListParagraph"/>
        <w:numPr>
          <w:ilvl w:val="0"/>
          <w:numId w:val="3"/>
        </w:numPr>
        <w:spacing w:after="60"/>
      </w:pPr>
      <w:r>
        <w:rPr>
          <w:sz w:val="22"/>
          <w:szCs w:val="22"/>
        </w:rPr>
        <w:t xml:space="preserve">An explicit note that the finding informs — does not auto-trigger — the performance decision.</w:t>
      </w:r>
    </w:p>
    <w:p>
      <w:pPr>
        <w:spacing w:after="60"/>
      </w:pPr>
      <w:r>
        <w:rPr>
          <w:b w:val="false"/>
          <w:bCs w:val="false"/>
          <w:i w:val="false"/>
          <w:iCs w:val="false"/>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3FB99E" w:sz="4"/>
              <w:left w:val="single" w:color="3FB99E" w:sz="18"/>
              <w:bottom w:val="single" w:color="3FB99E" w:sz="4"/>
              <w:right w:val="single" w:color="3FB99E" w:sz="4"/>
            </w:tcBorders>
            <w:shd w:fill="E1F5EE" w:val="clear"/>
            <w:tcMar>
              <w:top w:type="dxa" w:w="120"/>
              <w:left w:type="dxa" w:w="160"/>
              <w:bottom w:type="dxa" w:w="120"/>
              <w:right w:type="dxa" w:w="140"/>
            </w:tcMar>
          </w:tcPr>
          <w:p>
            <w:pPr>
              <w:spacing w:after="90"/>
            </w:pPr>
            <w:r>
              <w:rPr>
                <w:b/>
                <w:bCs/>
                <w:color w:val="0F6E56"/>
                <w:sz w:val="22"/>
                <w:szCs w:val="22"/>
              </w:rPr>
              <w:t xml:space="preserve">Decisions — recorded</w:t>
            </w:r>
          </w:p>
          <w:p>
            <w:pPr>
              <w:pStyle w:val="ListParagraph"/>
              <w:numPr>
                <w:ilvl w:val="0"/>
                <w:numId w:val="2"/>
              </w:numPr>
              <w:spacing w:after="80"/>
            </w:pPr>
            <w:r>
              <w:rPr>
                <w:b/>
                <w:bCs/>
                <w:color w:val="1F3B4D"/>
                <w:sz w:val="21"/>
                <w:szCs w:val="21"/>
              </w:rPr>
              <w:t xml:space="preserve">Reporting line:  </w:t>
            </w:r>
            <w:r>
              <w:rPr>
                <w:color w:val="333333"/>
                <w:sz w:val="21"/>
                <w:szCs w:val="21"/>
              </w:rPr>
              <w:t xml:space="preserve">the Analyst reports to an Audit / Governance Committee, independent of the operations audited.</w:t>
            </w:r>
          </w:p>
          <w:p>
            <w:pPr>
              <w:pStyle w:val="ListParagraph"/>
              <w:numPr>
                <w:ilvl w:val="0"/>
                <w:numId w:val="2"/>
              </w:numPr>
              <w:spacing w:after="80"/>
            </w:pPr>
            <w:r>
              <w:rPr>
                <w:b/>
                <w:bCs/>
                <w:color w:val="1F3B4D"/>
                <w:sz w:val="21"/>
                <w:szCs w:val="21"/>
              </w:rPr>
              <w:t xml:space="preserve">Peer / external review cadence:  </w:t>
            </w:r>
            <w:r>
              <w:rPr>
                <w:color w:val="333333"/>
                <w:sz w:val="21"/>
                <w:szCs w:val="21"/>
              </w:rPr>
              <w:t xml:space="preserve">to be set by the client, subject to internal audit or governance review criteria.</w:t>
            </w:r>
            <w:r>
              <w:rPr>
                <w:i/>
                <w:iCs/>
                <w:color w:val="633806"/>
                <w:sz w:val="19"/>
                <w:szCs w:val="19"/>
              </w:rPr>
              <w:t xml:space="preserve">   [open]</w:t>
            </w:r>
          </w:p>
          <w:p>
            <w:pPr>
              <w:pStyle w:val="ListParagraph"/>
              <w:numPr>
                <w:ilvl w:val="0"/>
                <w:numId w:val="2"/>
              </w:numPr>
              <w:spacing w:after="80"/>
            </w:pPr>
            <w:r>
              <w:rPr>
                <w:b/>
                <w:bCs/>
                <w:color w:val="1F3B4D"/>
                <w:sz w:val="21"/>
                <w:szCs w:val="21"/>
              </w:rPr>
              <w:t xml:space="preserve">Documentation checklist:  </w:t>
            </w:r>
            <w:r>
              <w:rPr>
                <w:color w:val="333333"/>
                <w:sz w:val="21"/>
                <w:szCs w:val="21"/>
              </w:rPr>
              <w:t xml:space="preserve">adopted as the eight-point checklist proposed above — confirm or adjust.</w:t>
            </w:r>
            <w:r>
              <w:rPr>
                <w:i/>
                <w:iCs/>
                <w:color w:val="633806"/>
                <w:sz w:val="19"/>
                <w:szCs w:val="19"/>
              </w:rPr>
              <w:t xml:space="preserve">   [open]</w:t>
            </w:r>
          </w:p>
          <w:p>
            <w:pPr>
              <w:pStyle w:val="ListParagraph"/>
              <w:numPr>
                <w:ilvl w:val="0"/>
                <w:numId w:val="2"/>
              </w:numPr>
              <w:spacing w:after="80"/>
            </w:pPr>
            <w:r>
              <w:rPr>
                <w:b/>
                <w:bCs/>
                <w:color w:val="1F3B4D"/>
                <w:sz w:val="21"/>
                <w:szCs w:val="21"/>
              </w:rPr>
              <w:t xml:space="preserve">Sign-off on performance-linked findings:  </w:t>
            </w:r>
            <w:r>
              <w:rPr>
                <w:color w:val="333333"/>
                <w:sz w:val="21"/>
                <w:szCs w:val="21"/>
              </w:rPr>
              <w:t xml:space="preserve">an open approval — Name, Title, Date — until the process is formalized.</w:t>
            </w:r>
            <w:r>
              <w:rPr>
                <w:i/>
                <w:iCs/>
                <w:color w:val="633806"/>
                <w:sz w:val="19"/>
                <w:szCs w:val="19"/>
              </w:rPr>
              <w:t xml:space="preserve">   [open]</w:t>
            </w:r>
          </w:p>
        </w:tc>
      </w:tr>
    </w:tbl>
    <w:p>
      <w:r>
        <w:br w:type="page"/>
      </w:r>
    </w:p>
    <w:p>
      <w:pPr>
        <w:pBdr>
          <w:bottom w:val="single" w:color="0F6E56" w:sz="10" w:space="4"/>
        </w:pBdr>
        <w:spacing w:after="140" w:before="60"/>
      </w:pPr>
      <w:r>
        <w:rPr>
          <w:b/>
          <w:bCs/>
          <w:color w:val="1F3B4D"/>
          <w:sz w:val="26"/>
          <w:szCs w:val="26"/>
        </w:rPr>
        <w:t xml:space="preserve">Appendix A — Tool-change implementation queue</w:t>
      </w:r>
    </w:p>
    <w:p>
      <w:pPr>
        <w:spacing w:after="140"/>
      </w:pPr>
      <w:r>
        <w:rPr>
          <w:b w:val="false"/>
          <w:bCs w:val="false"/>
          <w:i w:val="false"/>
          <w:iCs w:val="false"/>
          <w:sz w:val="22"/>
          <w:szCs w:val="22"/>
        </w:rPr>
        <w:t xml:space="preserve">These nine changes have been built into the existing Acuity instruments — the Program Governance Register (v2) and the Program Audit Aggregator / Report Builder (v7). Recorded here for completeness.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000"/>
        <w:gridCol w:w="3360"/>
        <w:gridCol w:w="1400"/>
      </w:tblGrid>
      <w:tr>
        <w:tc>
          <w:tcPr>
            <w:tcW w:type="dxa" w:w="2600"/>
            <w:tcBorders>
              <w:top w:val="single" w:color="CCCCCC" w:sz="1"/>
              <w:left w:val="single" w:color="CCCCCC" w:sz="1"/>
              <w:bottom w:val="single" w:color="CCCCCC" w:sz="1"/>
              <w:right w:val="single" w:color="CCCCCC" w:sz="1"/>
            </w:tcBorders>
            <w:shd w:fill="E1F5EE" w:val="clear"/>
            <w:tcMar>
              <w:top w:type="dxa" w:w="80"/>
              <w:left w:type="dxa" w:w="120"/>
              <w:bottom w:type="dxa" w:w="80"/>
              <w:right w:type="dxa" w:w="120"/>
            </w:tcMar>
          </w:tcPr>
          <w:p>
            <w:r>
              <w:rPr>
                <w:b/>
                <w:bCs/>
                <w:color w:val="1F3B4D"/>
                <w:sz w:val="20"/>
                <w:szCs w:val="20"/>
              </w:rPr>
              <w:t xml:space="preserve">Change</w:t>
            </w:r>
          </w:p>
        </w:tc>
        <w:tc>
          <w:tcPr>
            <w:tcW w:type="dxa" w:w="2000"/>
            <w:tcBorders>
              <w:top w:val="single" w:color="CCCCCC" w:sz="1"/>
              <w:left w:val="single" w:color="CCCCCC" w:sz="1"/>
              <w:bottom w:val="single" w:color="CCCCCC" w:sz="1"/>
              <w:right w:val="single" w:color="CCCCCC" w:sz="1"/>
            </w:tcBorders>
            <w:shd w:fill="E1F5EE" w:val="clear"/>
            <w:tcMar>
              <w:top w:type="dxa" w:w="80"/>
              <w:left w:type="dxa" w:w="120"/>
              <w:bottom w:type="dxa" w:w="80"/>
              <w:right w:type="dxa" w:w="120"/>
            </w:tcMar>
          </w:tcPr>
          <w:p>
            <w:r>
              <w:rPr>
                <w:b/>
                <w:bCs/>
                <w:color w:val="1F3B4D"/>
                <w:sz w:val="20"/>
                <w:szCs w:val="20"/>
              </w:rPr>
              <w:t xml:space="preserve">Instrument</w:t>
            </w:r>
          </w:p>
        </w:tc>
        <w:tc>
          <w:tcPr>
            <w:tcW w:type="dxa" w:w="3360"/>
            <w:tcBorders>
              <w:top w:val="single" w:color="CCCCCC" w:sz="1"/>
              <w:left w:val="single" w:color="CCCCCC" w:sz="1"/>
              <w:bottom w:val="single" w:color="CCCCCC" w:sz="1"/>
              <w:right w:val="single" w:color="CCCCCC" w:sz="1"/>
            </w:tcBorders>
            <w:shd w:fill="E1F5EE" w:val="clear"/>
            <w:tcMar>
              <w:top w:type="dxa" w:w="80"/>
              <w:left w:type="dxa" w:w="120"/>
              <w:bottom w:type="dxa" w:w="80"/>
              <w:right w:type="dxa" w:w="120"/>
            </w:tcMar>
          </w:tcPr>
          <w:p>
            <w:r>
              <w:rPr>
                <w:b/>
                <w:bCs/>
                <w:color w:val="1F3B4D"/>
                <w:sz w:val="20"/>
                <w:szCs w:val="20"/>
              </w:rPr>
              <w:t xml:space="preserve">Build note</w:t>
            </w:r>
          </w:p>
        </w:tc>
        <w:tc>
          <w:tcPr>
            <w:tcW w:type="dxa" w:w="1400"/>
            <w:tcBorders>
              <w:top w:val="single" w:color="CCCCCC" w:sz="1"/>
              <w:left w:val="single" w:color="CCCCCC" w:sz="1"/>
              <w:bottom w:val="single" w:color="CCCCCC" w:sz="1"/>
              <w:right w:val="single" w:color="CCCCCC" w:sz="1"/>
            </w:tcBorders>
            <w:shd w:fill="E1F5EE" w:val="clear"/>
            <w:tcMar>
              <w:top w:type="dxa" w:w="80"/>
              <w:left w:type="dxa" w:w="120"/>
              <w:bottom w:type="dxa" w:w="80"/>
              <w:right w:type="dxa" w:w="120"/>
            </w:tcMar>
          </w:tcPr>
          <w:p>
            <w:r>
              <w:rPr>
                <w:b/>
                <w:bCs/>
                <w:color w:val="1F3B4D"/>
                <w:sz w:val="20"/>
                <w:szCs w:val="20"/>
              </w:rPr>
              <w:t xml:space="preserve">Status</w:t>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Embedded effectiveness ledger</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Governance Register</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Result fields added (Effectiveness Ledger tab)</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 Built</w:t>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Cycle-open verification gate</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Aggregator / Register</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Blocks export until prior commitments are scored</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 Built</w:t>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Two-layer result reporting</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Report Builder</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Directional result + optional rationalized ROI</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 Built</w:t>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Two-tier rigour + charter trigger</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Aggregator</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Material items flagged to a charter tier</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 Built</w:t>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Declined-proposal counterfactual</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Governance Register</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Declines reviewed on the same basis as approvals</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 Built</w:t>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Pull-able effectiveness &amp; ROI report</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Aggregator</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Filtered cross-cycle export view</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 Built</w:t>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Sign-off authentication</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Governance Register</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Named attestation — who, role, date</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 Built</w:t>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Tamper-evident export</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Governance Register</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Versioned, locked, hashed closed-cycle record</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 Built</w:t>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Decline rate by accountability lane</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Aggregator</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Surfaces decline patterns by lane</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val="false"/>
                <w:bCs w:val="false"/>
                <w:sz w:val="20"/>
                <w:szCs w:val="20"/>
              </w:rPr>
              <w:t xml:space="preserve">✓ Built</w:t>
            </w:r>
          </w:p>
        </w:tc>
      </w:tr>
    </w:tbl>
    <w:p>
      <w:pPr>
        <w:spacing w:after="60"/>
      </w:pPr>
      <w:r>
        <w:rPr>
          <w:b w:val="false"/>
          <w:bCs w:val="false"/>
          <w:i w:val="false"/>
          <w:iCs w:val="false"/>
          <w:sz w:val="22"/>
          <w:szCs w:val="22"/>
        </w:rPr>
        <w:t xml:space="preserve"/>
      </w:r>
    </w:p>
    <w:p>
      <w:pPr>
        <w:spacing w:after="60"/>
      </w:pPr>
      <w:r>
        <w:rPr>
          <w:b w:val="false"/>
          <w:bCs w:val="false"/>
          <w:i/>
          <w:iCs/>
          <w:color w:val="5F5E5A"/>
          <w:sz w:val="22"/>
          <w:szCs w:val="22"/>
        </w:rPr>
        <w:t xml:space="preserve">Note: the material-item charter template is tightly coupled to the effectiveness ledger and was built alongside it (Appendix A, rows 1 and 4), kept in one instrument rather than drifting apart.</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80"/>
      </w:pPr>
    </w:lvl>
  </w:abstractNum>
  <w:abstractNum w:abstractNumId="3" w15:restartNumberingAfterBreak="0">
    <w:multiLevelType w:val="hybridMultilevel"/>
    <w:lvl w:ilvl="0" w15:tentative="1">
      <w:start w:val="1"/>
      <w:numFmt w:val="decimal"/>
      <w:lvlText w:val="%1."/>
      <w:lvlJc w:val="left"/>
      <w:pPr>
        <w:ind w:left="460" w:hanging="30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240"/>
      <w:outlineLvl w:val="0"/>
    </w:pPr>
    <w:rPr>
      <w:rFonts w:ascii="Arial" w:cs="Arial" w:eastAsia="Arial" w:hAnsi="Arial"/>
      <w:b/>
      <w:bCs/>
      <w:color w:val="1F3B4D"/>
      <w:sz w:val="32"/>
      <w:szCs w:val="32"/>
    </w:rPr>
  </w:style>
  <w:style w:type="paragraph" w:styleId="Heading2">
    <w:name w:val="Heading 2"/>
    <w:basedOn w:val="Normal"/>
    <w:next w:val="Normal"/>
    <w:qFormat/>
    <w:pPr>
      <w:spacing w:after="120" w:before="180"/>
      <w:outlineLvl w:val="1"/>
    </w:pPr>
    <w:rPr>
      <w:rFonts w:ascii="Arial" w:cs="Arial" w:eastAsia="Arial" w:hAnsi="Arial"/>
      <w:b/>
      <w:bCs/>
      <w:color w:val="1F3B4D"/>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2026-05-25T20:17:05.697Z</dcterms:created>
  <dcterms:modified xsi:type="dcterms:W3CDTF">2026-05-25T20:17:05.707Z</dcterms:modified>
</cp:coreProperties>
</file>

<file path=docProps/custom.xml><?xml version="1.0" encoding="utf-8"?>
<Properties xmlns="http://schemas.openxmlformats.org/officeDocument/2006/custom-properties" xmlns:vt="http://schemas.openxmlformats.org/officeDocument/2006/docPropsVTypes"/>
</file>