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spacing w:after="240"/>
      </w:pPr>
      <w:r>
        <w:t xml:space="preserve"/>
      </w:r>
    </w:p>
    <w:p>
      <w:pPr>
        <w:spacing w:after="60"/>
      </w:pPr>
      <w:r>
        <w:rPr>
          <w:b/>
          <w:bCs/>
          <w:caps/>
          <w:color w:val="17A589"/>
          <w:spacing w:val="40"/>
          <w:sz w:val="19"/>
          <w:szCs w:val="19"/>
        </w:rPr>
        <w:t xml:space="preserve">Governance Standard · Reusable Template</w:t>
      </w:r>
    </w:p>
    <w:p>
      <w:pPr>
        <w:pBdr>
          <w:bottom w:val="single" w:color="1F3864" w:sz="20" w:space="10"/>
        </w:pBdr>
        <w:spacing w:after="40"/>
      </w:pPr>
      <w:r>
        <w:rPr>
          <w:rFonts w:ascii="Arial" w:cs="Arial" w:eastAsia="Arial" w:hAnsi="Arial"/>
          <w:b/>
          <w:bCs/>
          <w:color w:val="1F3864"/>
          <w:sz w:val="50"/>
          <w:szCs w:val="50"/>
        </w:rPr>
        <w:t xml:space="preserve">Cycle Handoff &amp; Outcome Reporting</w:t>
      </w:r>
    </w:p>
    <w:p>
      <w:pPr>
        <w:spacing w:before="160"/>
      </w:pPr>
      <w:r>
        <w:rPr>
          <w:i/>
          <w:iCs/>
          <w:color w:val="5C6373"/>
          <w:sz w:val="24"/>
          <w:szCs w:val="24"/>
        </w:rPr>
        <w:t xml:space="preserve">The standard package that carries one audit cycle from file review through governance to the next — and the format in which outcomes are reported.</w:t>
      </w:r>
    </w:p>
    <w:p>
      <w:pPr>
        <w:spacing w:after="320"/>
      </w:pPr>
      <w:r>
        <w:t xml:space="preserve"/>
      </w:r>
    </w:p>
    <w:p>
      <w:pPr>
        <w:spacing w:after="60"/>
      </w:pPr>
      <w:r>
        <w:rPr>
          <w:b/>
          <w:bCs/>
          <w:caps/>
          <w:color w:val="1F3864"/>
          <w:spacing w:val="10"/>
          <w:sz w:val="20"/>
          <w:szCs w:val="20"/>
        </w:rPr>
        <w:t xml:space="preserve">Account   </w:t>
      </w:r>
      <w:r>
        <w:rPr>
          <w:color w:val="5C6373"/>
          <w:sz w:val="22"/>
          <w:szCs w:val="22"/>
        </w:rPr>
        <w:t xml:space="preserve">____________________________</w:t>
      </w:r>
    </w:p>
    <w:p>
      <w:pPr>
        <w:spacing w:after="60"/>
      </w:pPr>
      <w:r>
        <w:rPr>
          <w:b/>
          <w:bCs/>
          <w:caps/>
          <w:color w:val="1F3864"/>
          <w:spacing w:val="10"/>
          <w:sz w:val="20"/>
          <w:szCs w:val="20"/>
        </w:rPr>
        <w:t xml:space="preserve">Cycle / period   </w:t>
      </w:r>
      <w:r>
        <w:rPr>
          <w:color w:val="5C6373"/>
          <w:sz w:val="22"/>
          <w:szCs w:val="22"/>
        </w:rPr>
        <w:t xml:space="preserve">____________________________</w:t>
      </w:r>
    </w:p>
    <w:p>
      <w:pPr>
        <w:spacing w:after="60"/>
      </w:pPr>
      <w:r>
        <w:rPr>
          <w:b/>
          <w:bCs/>
          <w:caps/>
          <w:color w:val="1F3864"/>
          <w:spacing w:val="10"/>
          <w:sz w:val="20"/>
          <w:szCs w:val="20"/>
        </w:rPr>
        <w:t xml:space="preserve">Analyst   </w:t>
      </w:r>
      <w:r>
        <w:rPr>
          <w:color w:val="5C6373"/>
          <w:sz w:val="22"/>
          <w:szCs w:val="22"/>
        </w:rPr>
        <w:t xml:space="preserve">____________________________</w:t>
      </w:r>
    </w:p>
    <w:p>
      <w:pPr>
        <w:spacing w:after="60"/>
      </w:pPr>
      <w:r>
        <w:rPr>
          <w:b/>
          <w:bCs/>
          <w:caps/>
          <w:color w:val="1F3864"/>
          <w:spacing w:val="10"/>
          <w:sz w:val="20"/>
          <w:szCs w:val="20"/>
        </w:rPr>
        <w:t xml:space="preserve">Version   </w:t>
      </w:r>
      <w:r>
        <w:rPr>
          <w:color w:val="5C6373"/>
          <w:sz w:val="22"/>
          <w:szCs w:val="22"/>
        </w:rPr>
        <w:t xml:space="preserve">Template v1.0 — duplicate per cycle</w:t>
      </w:r>
    </w:p>
    <w:p>
      <w:pPr>
        <w:spacing w:after="240"/>
      </w:pPr>
      <w:r>
        <w:t xml:space="preserve"/>
      </w:r>
    </w:p>
    <w:p>
      <w:pPr>
        <w:pBdr>
          <w:top w:val="single" w:color="C9D2E0" w:sz="6" w:space="6"/>
        </w:pBdr>
      </w:pPr>
      <w:r>
        <w:rPr>
          <w:caps/>
          <w:color w:val="5C6373"/>
          <w:spacing w:val="14"/>
          <w:sz w:val="18"/>
          <w:szCs w:val="18"/>
        </w:rPr>
        <w:t xml:space="preserve">Acuity — Claims Performance Intelligence  ·  Sedgwick Canada</w:t>
      </w:r>
    </w:p>
    <w:p>
      <w:r>
        <w:br w:type="page"/>
      </w:r>
    </w:p>
    <w:p>
      <w:pPr>
        <w:pBdr>
          <w:bottom w:val="single" w:color="17A589" w:sz="14" w:space="6"/>
        </w:pBdr>
        <w:spacing w:after="140" w:before="340"/>
      </w:pPr>
      <w:r>
        <w:rPr>
          <w:rFonts w:ascii="Arial" w:cs="Arial" w:eastAsia="Arial" w:hAnsi="Arial"/>
          <w:b/>
          <w:bCs/>
          <w:color w:val="1F3864"/>
          <w:sz w:val="30"/>
          <w:szCs w:val="30"/>
        </w:rPr>
        <w:t xml:space="preserve">1.  Purpose &amp; How to Use</w:t>
      </w:r>
    </w:p>
    <w:p>
      <w:pPr>
        <w:spacing w:after="120" w:before="0" w:line="276"/>
      </w:pPr>
      <w:r>
        <w:rPr>
          <w:sz w:val="22"/>
          <w:szCs w:val="22"/>
        </w:rPr>
        <w:t xml:space="preserve">This template is the connective standard for one Acuity audit cycle. It does two jobs: it defines the handoff — what passes from whom to whom at each stage — and it fixes the format in which outcomes are reported. One completed copy is, at once, a cycle's chain of custody and its outcome report.</w:t>
      </w:r>
    </w:p>
    <w:p>
      <w:pPr>
        <w:spacing w:after="120" w:before="0" w:line="276"/>
      </w:pPr>
      <w:r>
        <w:rPr>
          <w:b/>
          <w:bCs/>
          <w:sz w:val="22"/>
          <w:szCs w:val="22"/>
        </w:rPr>
        <w:t xml:space="preserve">How to use.  </w:t>
      </w:r>
      <w:r>
        <w:rPr>
          <w:sz w:val="22"/>
          <w:szCs w:val="22"/>
        </w:rPr>
        <w:t xml:space="preserve">At the start of each cycle, duplicate this template and complete the Cycle Header (§4). Fill the Handoff Log (§5) as the cycle moves through its stages, and the Outcome Report (§6) as results land. Each transition carries a gate check that must be satisfied before the cycle advances. The finished file travels with the cycle and is filed against it.</w:t>
      </w:r>
    </w:p>
    <w:p>
      <w:pPr>
        <w:pBdr>
          <w:bottom w:val="single" w:color="17A589" w:sz="14" w:space="6"/>
        </w:pBdr>
        <w:spacing w:after="140" w:before="340"/>
      </w:pPr>
      <w:r>
        <w:rPr>
          <w:rFonts w:ascii="Arial" w:cs="Arial" w:eastAsia="Arial" w:hAnsi="Arial"/>
          <w:b/>
          <w:bCs/>
          <w:color w:val="1F3864"/>
          <w:sz w:val="30"/>
          <w:szCs w:val="30"/>
        </w:rPr>
        <w:t xml:space="preserve">2.  The Cycle at a Glance</w:t>
      </w:r>
    </w:p>
    <w:p>
      <w:pPr>
        <w:spacing w:after="120" w:before="0" w:line="276"/>
      </w:pPr>
      <w:r>
        <w:rPr>
          <w:sz w:val="22"/>
          <w:szCs w:val="22"/>
        </w:rPr>
        <w:t xml:space="preserve">Six stages carry a cycle end to end. The receiver at each stage verifies the named condition before work proceeds.</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430"/>
        <w:gridCol w:w="1500"/>
        <w:gridCol w:w="1700"/>
        <w:gridCol w:w="2310"/>
        <w:gridCol w:w="1500"/>
        <w:gridCol w:w="2200"/>
      </w:tblGrid>
      <w:tr>
        <w:trPr>
          <w:tblHeader/>
        </w:trPr>
        <w:tc>
          <w:tcPr>
            <w:tcW w:type="dxa" w:w="43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w:t>
            </w:r>
          </w:p>
        </w:tc>
        <w:tc>
          <w:tcPr>
            <w:tcW w:type="dxa" w:w="15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Stage</w:t>
            </w:r>
          </w:p>
        </w:tc>
        <w:tc>
          <w:tcPr>
            <w:tcW w:type="dxa" w:w="17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Instrument / owner</w:t>
            </w:r>
          </w:p>
        </w:tc>
        <w:tc>
          <w:tcPr>
            <w:tcW w:type="dxa" w:w="231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Produces</w:t>
            </w:r>
          </w:p>
        </w:tc>
        <w:tc>
          <w:tcPr>
            <w:tcW w:type="dxa" w:w="15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Hands to</w:t>
            </w:r>
          </w:p>
        </w:tc>
        <w:tc>
          <w:tcPr>
            <w:tcW w:type="dxa" w:w="22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Receiver verifies</w:t>
            </w:r>
          </w:p>
        </w:tc>
      </w:tr>
      <w:tr>
        <w:tc>
          <w:tcPr>
            <w:tcW w:type="dxa" w:w="43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1</w:t>
            </w:r>
          </w:p>
        </w:tc>
        <w:tc>
          <w:tcPr>
            <w:tcW w:type="dxa" w:w="15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Audit</w:t>
            </w:r>
          </w:p>
        </w:tc>
        <w:tc>
          <w:tcPr>
            <w:tcW w:type="dxa" w:w="17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Audit Tool / Analyst</w:t>
            </w:r>
          </w:p>
        </w:tc>
        <w:tc>
          <w:tcPr>
            <w:tcW w:type="dxa" w:w="231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Sampled, root-cause-coded files + rebuttals</w:t>
            </w:r>
          </w:p>
        </w:tc>
        <w:tc>
          <w:tcPr>
            <w:tcW w:type="dxa" w:w="15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Report Builder</w:t>
            </w:r>
          </w:p>
        </w:tc>
        <w:tc>
          <w:tcPr>
            <w:tcW w:type="dxa" w:w="22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Sample complete; codes calibrated</w:t>
            </w:r>
          </w:p>
        </w:tc>
      </w:tr>
      <w:tr>
        <w:tc>
          <w:tcPr>
            <w:tcW w:type="dxa" w:w="43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2</w:t>
            </w:r>
          </w:p>
        </w:tc>
        <w:tc>
          <w:tcPr>
            <w:tcW w:type="dxa" w:w="15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Aggregate &amp; report</w:t>
            </w:r>
          </w:p>
        </w:tc>
        <w:tc>
          <w:tcPr>
            <w:tcW w:type="dxa" w:w="17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Aggregator / Analyst</w:t>
            </w:r>
          </w:p>
        </w:tc>
        <w:tc>
          <w:tcPr>
            <w:tcW w:type="dxa" w:w="231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Program Audit Report, forward commitments, ROI</w:t>
            </w:r>
          </w:p>
        </w:tc>
        <w:tc>
          <w:tcPr>
            <w:tcW w:type="dxa" w:w="15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Governance Register</w:t>
            </w:r>
          </w:p>
        </w:tc>
        <w:tc>
          <w:tcPr>
            <w:tcW w:type="dxa" w:w="22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Each finding has a decision, owner, measure</w:t>
            </w:r>
          </w:p>
        </w:tc>
      </w:tr>
      <w:tr>
        <w:tc>
          <w:tcPr>
            <w:tcW w:type="dxa" w:w="43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3</w:t>
            </w:r>
          </w:p>
        </w:tc>
        <w:tc>
          <w:tcPr>
            <w:tcW w:type="dxa" w:w="15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Cycle-open gate</w:t>
            </w:r>
          </w:p>
        </w:tc>
        <w:tc>
          <w:tcPr>
            <w:tcW w:type="dxa" w:w="17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Aggregator / Analyst</w:t>
            </w:r>
          </w:p>
        </w:tc>
        <w:tc>
          <w:tcPr>
            <w:tcW w:type="dxa" w:w="231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Verified prior-cycle results</w:t>
            </w:r>
          </w:p>
        </w:tc>
        <w:tc>
          <w:tcPr>
            <w:tcW w:type="dxa" w:w="15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This cycle (to close)</w:t>
            </w:r>
          </w:p>
        </w:tc>
        <w:tc>
          <w:tcPr>
            <w:tcW w:type="dxa" w:w="22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Zero prior commitments unresolved</w:t>
            </w:r>
          </w:p>
        </w:tc>
      </w:tr>
      <w:tr>
        <w:tc>
          <w:tcPr>
            <w:tcW w:type="dxa" w:w="43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4</w:t>
            </w:r>
          </w:p>
        </w:tc>
        <w:tc>
          <w:tcPr>
            <w:tcW w:type="dxa" w:w="15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Govern &amp; sign off</w:t>
            </w:r>
          </w:p>
        </w:tc>
        <w:tc>
          <w:tcPr>
            <w:tcW w:type="dxa" w:w="17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Register / Analyst + parties</w:t>
            </w:r>
          </w:p>
        </w:tc>
        <w:tc>
          <w:tcPr>
            <w:tcW w:type="dxa" w:w="231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Decisions, routing approvals, locked record</w:t>
            </w:r>
          </w:p>
        </w:tc>
        <w:tc>
          <w:tcPr>
            <w:tcW w:type="dxa" w:w="15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Audit / Governance Committee</w:t>
            </w:r>
          </w:p>
        </w:tc>
        <w:tc>
          <w:tcPr>
            <w:tcW w:type="dxa" w:w="22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Three-party sign-off; record locked</w:t>
            </w:r>
          </w:p>
        </w:tc>
      </w:tr>
      <w:tr>
        <w:tc>
          <w:tcPr>
            <w:tcW w:type="dxa" w:w="43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5</w:t>
            </w:r>
          </w:p>
        </w:tc>
        <w:tc>
          <w:tcPr>
            <w:tcW w:type="dxa" w:w="15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Committee &amp; client</w:t>
            </w:r>
          </w:p>
        </w:tc>
        <w:tc>
          <w:tcPr>
            <w:tcW w:type="dxa" w:w="17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Analyst / Committee</w:t>
            </w:r>
          </w:p>
        </w:tc>
        <w:tc>
          <w:tcPr>
            <w:tcW w:type="dxa" w:w="231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Presented findings; routed client items</w:t>
            </w:r>
          </w:p>
        </w:tc>
        <w:tc>
          <w:tcPr>
            <w:tcW w:type="dxa" w:w="15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Client / next cycle</w:t>
            </w:r>
          </w:p>
        </w:tc>
        <w:tc>
          <w:tcPr>
            <w:tcW w:type="dxa" w:w="22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Corroboration met; attestation captured</w:t>
            </w:r>
          </w:p>
        </w:tc>
      </w:tr>
      <w:tr>
        <w:tc>
          <w:tcPr>
            <w:tcW w:type="dxa" w:w="43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6</w:t>
            </w:r>
          </w:p>
        </w:tc>
        <w:tc>
          <w:tcPr>
            <w:tcW w:type="dxa" w:w="15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Carry-forward</w:t>
            </w:r>
          </w:p>
        </w:tc>
        <w:tc>
          <w:tcPr>
            <w:tcW w:type="dxa" w:w="17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Register / Analyst</w:t>
            </w:r>
          </w:p>
        </w:tc>
        <w:tc>
          <w:tcPr>
            <w:tcW w:type="dxa" w:w="231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Commitments + open items</w:t>
            </w:r>
          </w:p>
        </w:tc>
        <w:tc>
          <w:tcPr>
            <w:tcW w:type="dxa" w:w="15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Next cycle's gate</w:t>
            </w:r>
          </w:p>
        </w:tc>
        <w:tc>
          <w:tcPr>
            <w:tcW w:type="dxa" w:w="22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Open items logged for tracking</w:t>
            </w:r>
          </w:p>
        </w:tc>
      </w:tr>
    </w:tbl>
    <w:p>
      <w:pPr>
        <w:spacing w:after="120" w:before="60" w:line="276"/>
      </w:pPr>
      <w:r>
        <w:rPr>
          <w:b/>
          <w:bCs/>
          <w:sz w:val="22"/>
          <w:szCs w:val="22"/>
        </w:rPr>
        <w:t xml:space="preserve">Parallel track.  </w:t>
      </w:r>
      <w:r>
        <w:rPr>
          <w:sz w:val="22"/>
          <w:szCs w:val="22"/>
        </w:rPr>
        <w:t xml:space="preserve">High-risk files — reopened, high-cost, legal, and aged — run through the Claims Committee, outside this audit cycle. The audit samples the general population; the Committee owns the tail. The boundary between the two is defined so nothing falls between them.</w:t>
      </w:r>
    </w:p>
    <w:p>
      <w:pPr>
        <w:pBdr>
          <w:bottom w:val="single" w:color="17A589" w:sz="14" w:space="6"/>
        </w:pBdr>
        <w:spacing w:after="140" w:before="340"/>
      </w:pPr>
      <w:r>
        <w:rPr>
          <w:rFonts w:ascii="Arial" w:cs="Arial" w:eastAsia="Arial" w:hAnsi="Arial"/>
          <w:b/>
          <w:bCs/>
          <w:color w:val="1F3864"/>
          <w:sz w:val="30"/>
          <w:szCs w:val="30"/>
        </w:rPr>
        <w:t xml:space="preserve">3.  Handoff Control Points</w:t>
      </w:r>
    </w:p>
    <w:p>
      <w:pPr>
        <w:spacing w:after="120" w:before="0" w:line="276"/>
      </w:pPr>
      <w:r>
        <w:rPr>
          <w:sz w:val="22"/>
          <w:szCs w:val="22"/>
        </w:rPr>
        <w:t xml:space="preserve">Four seams carry the most risk. Each has a rule and a condition that must be true to pass.</w:t>
      </w:r>
    </w:p>
    <w:p>
      <w:pPr>
        <w:spacing w:after="90" w:before="240"/>
      </w:pPr>
      <w:r>
        <w:rPr>
          <w:rFonts w:ascii="Arial" w:cs="Arial" w:eastAsia="Arial" w:hAnsi="Arial"/>
          <w:b/>
          <w:bCs/>
          <w:color w:val="1F3864"/>
          <w:sz w:val="24"/>
          <w:szCs w:val="24"/>
        </w:rPr>
        <w:t xml:space="preserve">Seam 1 — Audit → Report Builder</w:t>
      </w:r>
    </w:p>
    <w:p>
      <w:pPr>
        <w:spacing w:after="120" w:before="0" w:line="276"/>
      </w:pPr>
      <w:r>
        <w:rPr>
          <w:sz w:val="22"/>
          <w:szCs w:val="22"/>
        </w:rPr>
        <w:t xml:space="preserve">Coded files are imported into the Aggregator. Passes when the sampled set is complete and the cycle's calibration (10% double-scored, target 80% agreement) is on record.</w:t>
      </w:r>
    </w:p>
    <w:p>
      <w:pPr>
        <w:spacing w:after="90" w:before="240"/>
      </w:pPr>
      <w:r>
        <w:rPr>
          <w:rFonts w:ascii="Arial" w:cs="Arial" w:eastAsia="Arial" w:hAnsi="Arial"/>
          <w:b/>
          <w:bCs/>
          <w:color w:val="1F3864"/>
          <w:sz w:val="24"/>
          <w:szCs w:val="24"/>
        </w:rPr>
        <w:t xml:space="preserve">Seam 2 — Report Builder → Governance Register</w:t>
      </w:r>
    </w:p>
    <w:p>
      <w:pPr>
        <w:spacing w:after="120" w:before="0" w:line="276"/>
      </w:pPr>
      <w:r>
        <w:rPr>
          <w:sz w:val="22"/>
          <w:szCs w:val="22"/>
        </w:rPr>
        <w:t xml:space="preserve">Findings become recorded decisions. Passes when every finding carries a decision (accept / defer / formally decline), an owner lane, and a success measure.</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9640"/>
      </w:tblGrid>
      <w:tr>
        <w:tc>
          <w:tcPr>
            <w:tcW w:type="dxa" w:w="9640"/>
            <w:tcBorders>
              <w:top w:val="single" w:color="3FB99E" w:sz="4"/>
              <w:left w:val="single" w:color="3FB99E" w:sz="18"/>
              <w:bottom w:val="single" w:color="3FB99E" w:sz="4"/>
              <w:right w:val="single" w:color="3FB99E" w:sz="4"/>
            </w:tcBorders>
            <w:shd w:fill="E7F4F0" w:val="clear"/>
            <w:tcMar>
              <w:top w:type="dxa" w:w="120"/>
              <w:left w:type="dxa" w:w="160"/>
              <w:bottom w:type="dxa" w:w="120"/>
              <w:right w:type="dxa" w:w="140"/>
            </w:tcMar>
          </w:tcPr>
          <w:p>
            <w:pPr>
              <w:spacing w:after="70"/>
            </w:pPr>
            <w:r>
              <w:rPr>
                <w:b/>
                <w:bCs/>
                <w:color w:val="17A589"/>
                <w:sz w:val="21"/>
                <w:szCs w:val="21"/>
              </w:rPr>
              <w:t xml:space="preserve">Now automated — the cycle package</w:t>
            </w:r>
          </w:p>
          <w:p>
            <w:pPr>
              <w:pStyle w:val="ListParagraph"/>
              <w:numPr>
                <w:ilvl w:val="0"/>
                <w:numId w:val="2"/>
              </w:numPr>
              <w:spacing w:after="50" w:line="264"/>
            </w:pPr>
            <w:r>
              <w:rPr>
                <w:color w:val="333333"/>
                <w:sz w:val="21"/>
                <w:szCs w:val="21"/>
              </w:rPr>
              <w:t xml:space="preserve">The Aggregator exports the cycle as a cycle package (schema ACP-1.0) that the Register ingests directly: decisions, owners, and success measures land without re-keying. The Handoff Log entry for Seam 2 records that the package changed hands.</w:t>
            </w:r>
          </w:p>
        </w:tc>
      </w:tr>
    </w:tbl>
    <w:p>
      <w:pPr>
        <w:spacing w:after="90" w:before="240"/>
      </w:pPr>
      <w:r>
        <w:rPr>
          <w:rFonts w:ascii="Arial" w:cs="Arial" w:eastAsia="Arial" w:hAnsi="Arial"/>
          <w:b/>
          <w:bCs/>
          <w:color w:val="1F3864"/>
          <w:sz w:val="24"/>
          <w:szCs w:val="24"/>
        </w:rPr>
        <w:t xml:space="preserve">Seam 3 — Prior cycle → This cycle (the gate)</w:t>
      </w:r>
    </w:p>
    <w:p>
      <w:pPr>
        <w:spacing w:after="120" w:before="0" w:line="276"/>
      </w:pPr>
      <w:r>
        <w:rPr>
          <w:sz w:val="22"/>
          <w:szCs w:val="22"/>
        </w:rPr>
        <w:t xml:space="preserve">The cycle cannot close until last cycle's commitments are verified. Passes when every prior commitment shows a Layer-1 result — Achieved, Partial, Not achieved, or Too early — and none remain Not yet assessed. The Register exports the prior cycle as a cycle package, and the gate auto-fills from it — no copying by hand.</w:t>
      </w:r>
    </w:p>
    <w:p>
      <w:pPr>
        <w:spacing w:after="90" w:before="240"/>
      </w:pPr>
      <w:r>
        <w:rPr>
          <w:rFonts w:ascii="Arial" w:cs="Arial" w:eastAsia="Arial" w:hAnsi="Arial"/>
          <w:b/>
          <w:bCs/>
          <w:color w:val="1F3864"/>
          <w:sz w:val="24"/>
          <w:szCs w:val="24"/>
        </w:rPr>
        <w:t xml:space="preserve">Seam 4 — Sedgwick → Client (routed findings)</w:t>
      </w:r>
    </w:p>
    <w:p>
      <w:pPr>
        <w:spacing w:after="120" w:before="0" w:line="276"/>
      </w:pPr>
      <w:r>
        <w:rPr>
          <w:sz w:val="22"/>
          <w:szCs w:val="22"/>
        </w:rPr>
        <w:t xml:space="preserve">Client- and leadership-lane findings are released. Passes when the 20% cumulative corroboration threshold is met, the observation + evidence + quantified impact + proposed shared action framing is applied, and the open attestation — signature, role, date, comment — is captured. A finding the client declines remains Open indefinitely and is tracked, not closed.</w:t>
      </w:r>
    </w:p>
    <w:p>
      <w:r>
        <w:br w:type="page"/>
      </w:r>
    </w:p>
    <w:p>
      <w:pPr>
        <w:pBdr>
          <w:bottom w:val="single" w:color="17A589" w:sz="14" w:space="6"/>
        </w:pBdr>
        <w:spacing w:after="140" w:before="340"/>
      </w:pPr>
      <w:r>
        <w:rPr>
          <w:rFonts w:ascii="Arial" w:cs="Arial" w:eastAsia="Arial" w:hAnsi="Arial"/>
          <w:b/>
          <w:bCs/>
          <w:color w:val="1F3864"/>
          <w:sz w:val="30"/>
          <w:szCs w:val="30"/>
        </w:rPr>
        <w:t xml:space="preserve">4.  Cycle Header</w:t>
      </w:r>
    </w:p>
    <w:p>
      <w:pPr>
        <w:spacing w:after="100" w:before="0" w:line="276"/>
      </w:pPr>
      <w:r>
        <w:rPr>
          <w:color w:val="5C6373"/>
          <w:sz w:val="22"/>
          <w:szCs w:val="22"/>
        </w:rPr>
        <w:t xml:space="preserve">Complete at the start of the cycle.</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1900"/>
        <w:gridCol w:w="2920"/>
        <w:gridCol w:w="1900"/>
        <w:gridCol w:w="2920"/>
      </w:tblGrid>
      <w:tr>
        <w:trPr>
          <w:tblHeader/>
        </w:trPr>
        <w:tc>
          <w:tcPr>
            <w:tcW w:type="dxa" w:w="19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Field</w:t>
            </w:r>
          </w:p>
        </w:tc>
        <w:tc>
          <w:tcPr>
            <w:tcW w:type="dxa" w:w="292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Entry</w:t>
            </w:r>
          </w:p>
        </w:tc>
        <w:tc>
          <w:tcPr>
            <w:tcW w:type="dxa" w:w="19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Field</w:t>
            </w:r>
          </w:p>
        </w:tc>
        <w:tc>
          <w:tcPr>
            <w:tcW w:type="dxa" w:w="292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Entry</w:t>
            </w:r>
          </w:p>
        </w:tc>
      </w:tr>
      <w:tr>
        <w:tc>
          <w:tcPr>
            <w:tcW w:type="dxa" w:w="19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b/>
                <w:bCs/>
                <w:sz w:val="19"/>
                <w:szCs w:val="19"/>
              </w:rPr>
              <w:t xml:space="preserve">Account</w:t>
            </w:r>
          </w:p>
        </w:tc>
        <w:tc>
          <w:tcPr>
            <w:tcW w:type="dxa" w:w="292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9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b/>
                <w:bCs/>
                <w:sz w:val="19"/>
                <w:szCs w:val="19"/>
              </w:rPr>
              <w:t xml:space="preserve">Cycle / period</w:t>
            </w:r>
          </w:p>
        </w:tc>
        <w:tc>
          <w:tcPr>
            <w:tcW w:type="dxa" w:w="292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r>
      <w:tr>
        <w:tc>
          <w:tcPr>
            <w:tcW w:type="dxa" w:w="19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b/>
                <w:bCs/>
                <w:sz w:val="19"/>
                <w:szCs w:val="19"/>
              </w:rPr>
              <w:t xml:space="preserve">Analyst</w:t>
            </w:r>
          </w:p>
        </w:tc>
        <w:tc>
          <w:tcPr>
            <w:tcW w:type="dxa" w:w="292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9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b/>
                <w:bCs/>
                <w:sz w:val="19"/>
                <w:szCs w:val="19"/>
              </w:rPr>
              <w:t xml:space="preserve">Sample (8% / count)</w:t>
            </w:r>
          </w:p>
        </w:tc>
        <w:tc>
          <w:tcPr>
            <w:tcW w:type="dxa" w:w="292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r>
      <w:tr>
        <w:tc>
          <w:tcPr>
            <w:tcW w:type="dxa" w:w="19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b/>
                <w:bCs/>
                <w:sz w:val="19"/>
                <w:szCs w:val="19"/>
              </w:rPr>
              <w:t xml:space="preserve">Files audited</w:t>
            </w:r>
          </w:p>
        </w:tc>
        <w:tc>
          <w:tcPr>
            <w:tcW w:type="dxa" w:w="292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9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b/>
                <w:bCs/>
                <w:sz w:val="19"/>
                <w:szCs w:val="19"/>
              </w:rPr>
              <w:t xml:space="preserve">Adjusters covered</w:t>
            </w:r>
          </w:p>
        </w:tc>
        <w:tc>
          <w:tcPr>
            <w:tcW w:type="dxa" w:w="292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r>
      <w:tr>
        <w:tc>
          <w:tcPr>
            <w:tcW w:type="dxa" w:w="19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b/>
                <w:bCs/>
                <w:sz w:val="19"/>
                <w:szCs w:val="19"/>
              </w:rPr>
              <w:t xml:space="preserve">Date opened</w:t>
            </w:r>
          </w:p>
        </w:tc>
        <w:tc>
          <w:tcPr>
            <w:tcW w:type="dxa" w:w="292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9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b/>
                <w:bCs/>
                <w:sz w:val="19"/>
                <w:szCs w:val="19"/>
              </w:rPr>
              <w:t xml:space="preserve">Date closed</w:t>
            </w:r>
          </w:p>
        </w:tc>
        <w:tc>
          <w:tcPr>
            <w:tcW w:type="dxa" w:w="292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r>
    </w:tbl>
    <w:p>
      <w:pPr>
        <w:pBdr>
          <w:bottom w:val="single" w:color="17A589" w:sz="14" w:space="6"/>
        </w:pBdr>
        <w:spacing w:after="140" w:before="340"/>
      </w:pPr>
      <w:r>
        <w:rPr>
          <w:rFonts w:ascii="Arial" w:cs="Arial" w:eastAsia="Arial" w:hAnsi="Arial"/>
          <w:b/>
          <w:bCs/>
          <w:color w:val="1F3864"/>
          <w:sz w:val="30"/>
          <w:szCs w:val="30"/>
        </w:rPr>
        <w:t xml:space="preserve">5.  Cycle Handoff Log</w:t>
      </w:r>
    </w:p>
    <w:p>
      <w:pPr>
        <w:spacing w:after="100" w:before="0" w:line="276"/>
      </w:pPr>
      <w:r>
        <w:rPr>
          <w:color w:val="5C6373"/>
          <w:sz w:val="22"/>
          <w:szCs w:val="22"/>
        </w:rPr>
        <w:t xml:space="preserve">Date each transition and record the gate check as it is satisfied. The pre-named transitions are fixed; complete the open columns.</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560"/>
        <w:gridCol w:w="2640"/>
        <w:gridCol w:w="1120"/>
        <w:gridCol w:w="2520"/>
        <w:gridCol w:w="2800"/>
      </w:tblGrid>
      <w:tr>
        <w:trPr>
          <w:tblHeader/>
        </w:trPr>
        <w:tc>
          <w:tcPr>
            <w:tcW w:type="dxa" w:w="56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Seam</w:t>
            </w:r>
          </w:p>
        </w:tc>
        <w:tc>
          <w:tcPr>
            <w:tcW w:type="dxa" w:w="264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Transition</w:t>
            </w:r>
          </w:p>
        </w:tc>
        <w:tc>
          <w:tcPr>
            <w:tcW w:type="dxa" w:w="112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Date</w:t>
            </w:r>
          </w:p>
        </w:tc>
        <w:tc>
          <w:tcPr>
            <w:tcW w:type="dxa" w:w="252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Artifact handed</w:t>
            </w:r>
          </w:p>
        </w:tc>
        <w:tc>
          <w:tcPr>
            <w:tcW w:type="dxa" w:w="28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Gate check (✓ when met)</w:t>
            </w:r>
          </w:p>
        </w:tc>
      </w:tr>
      <w:tr>
        <w:tc>
          <w:tcPr>
            <w:tcW w:type="dxa" w:w="56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1</w:t>
            </w:r>
          </w:p>
        </w:tc>
        <w:tc>
          <w:tcPr>
            <w:tcW w:type="dxa" w:w="26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Audit → Report Builder</w:t>
            </w:r>
          </w:p>
        </w:tc>
        <w:tc>
          <w:tcPr>
            <w:tcW w:type="dxa" w:w="112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252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Audit export (coded files)</w:t>
            </w:r>
          </w:p>
        </w:tc>
        <w:tc>
          <w:tcPr>
            <w:tcW w:type="dxa" w:w="28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sample complete &amp; calibrated</w:t>
            </w:r>
          </w:p>
        </w:tc>
      </w:tr>
      <w:tr>
        <w:tc>
          <w:tcPr>
            <w:tcW w:type="dxa" w:w="56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2</w:t>
            </w:r>
          </w:p>
        </w:tc>
        <w:tc>
          <w:tcPr>
            <w:tcW w:type="dxa" w:w="264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Report → Governance Register</w:t>
            </w:r>
          </w:p>
        </w:tc>
        <w:tc>
          <w:tcPr>
            <w:tcW w:type="dxa" w:w="112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252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Cycle package (decisions)</w:t>
            </w:r>
          </w:p>
        </w:tc>
        <w:tc>
          <w:tcPr>
            <w:tcW w:type="dxa" w:w="28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each finding: decision + owner + measure</w:t>
            </w:r>
          </w:p>
        </w:tc>
      </w:tr>
      <w:tr>
        <w:tc>
          <w:tcPr>
            <w:tcW w:type="dxa" w:w="56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3</w:t>
            </w:r>
          </w:p>
        </w:tc>
        <w:tc>
          <w:tcPr>
            <w:tcW w:type="dxa" w:w="26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Prior cycle → this cycle (gate)</w:t>
            </w:r>
          </w:p>
        </w:tc>
        <w:tc>
          <w:tcPr>
            <w:tcW w:type="dxa" w:w="112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252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Effectiveness ledger results</w:t>
            </w:r>
          </w:p>
        </w:tc>
        <w:tc>
          <w:tcPr>
            <w:tcW w:type="dxa" w:w="28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zero prior commitments unresolved</w:t>
            </w:r>
          </w:p>
        </w:tc>
      </w:tr>
      <w:tr>
        <w:tc>
          <w:tcPr>
            <w:tcW w:type="dxa" w:w="56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4</w:t>
            </w:r>
          </w:p>
        </w:tc>
        <w:tc>
          <w:tcPr>
            <w:tcW w:type="dxa" w:w="264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Govern → Audit/Gov Committee</w:t>
            </w:r>
          </w:p>
        </w:tc>
        <w:tc>
          <w:tcPr>
            <w:tcW w:type="dxa" w:w="112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252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Signed report + locked register</w:t>
            </w:r>
          </w:p>
        </w:tc>
        <w:tc>
          <w:tcPr>
            <w:tcW w:type="dxa" w:w="28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three-party sign-off complete</w:t>
            </w:r>
          </w:p>
        </w:tc>
      </w:tr>
      <w:tr>
        <w:tc>
          <w:tcPr>
            <w:tcW w:type="dxa" w:w="56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5</w:t>
            </w:r>
          </w:p>
        </w:tc>
        <w:tc>
          <w:tcPr>
            <w:tcW w:type="dxa" w:w="26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Sedgwick → Client (routed)</w:t>
            </w:r>
          </w:p>
        </w:tc>
        <w:tc>
          <w:tcPr>
            <w:tcW w:type="dxa" w:w="112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252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Routed findings + attestation</w:t>
            </w:r>
          </w:p>
        </w:tc>
        <w:tc>
          <w:tcPr>
            <w:tcW w:type="dxa" w:w="28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20% threshold + framing applied</w:t>
            </w:r>
          </w:p>
        </w:tc>
      </w:tr>
      <w:tr>
        <w:tc>
          <w:tcPr>
            <w:tcW w:type="dxa" w:w="56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6</w:t>
            </w:r>
          </w:p>
        </w:tc>
        <w:tc>
          <w:tcPr>
            <w:tcW w:type="dxa" w:w="264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This cycle → next cycle</w:t>
            </w:r>
          </w:p>
        </w:tc>
        <w:tc>
          <w:tcPr>
            <w:tcW w:type="dxa" w:w="112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252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Carry-forward commitments + open items</w:t>
            </w:r>
          </w:p>
        </w:tc>
        <w:tc>
          <w:tcPr>
            <w:tcW w:type="dxa" w:w="28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open items logged</w:t>
            </w:r>
          </w:p>
        </w:tc>
      </w:tr>
    </w:tbl>
    <w:p>
      <w:r>
        <w:br w:type="page"/>
      </w:r>
    </w:p>
    <w:p>
      <w:pPr>
        <w:pBdr>
          <w:bottom w:val="single" w:color="17A589" w:sz="14" w:space="6"/>
        </w:pBdr>
        <w:spacing w:after="140" w:before="340"/>
      </w:pPr>
      <w:r>
        <w:rPr>
          <w:rFonts w:ascii="Arial" w:cs="Arial" w:eastAsia="Arial" w:hAnsi="Arial"/>
          <w:b/>
          <w:bCs/>
          <w:color w:val="1F3864"/>
          <w:sz w:val="30"/>
          <w:szCs w:val="30"/>
        </w:rPr>
        <w:t xml:space="preserve">6.  Outcome Report — Standard Format</w:t>
      </w:r>
    </w:p>
    <w:p>
      <w:pPr>
        <w:spacing w:after="120" w:before="0" w:line="276"/>
      </w:pPr>
      <w:r>
        <w:rPr>
          <w:sz w:val="22"/>
          <w:szCs w:val="22"/>
        </w:rPr>
        <w:t xml:space="preserve">The fixed format in which every cycle reports out. Rows marked in grey are examples; replace them. This section mirrors the Aggregator's pull-able Effectiveness &amp; ROI report and the Register's ledger.</w:t>
      </w:r>
    </w:p>
    <w:p>
      <w:pPr>
        <w:spacing w:after="90" w:before="240"/>
      </w:pPr>
      <w:r>
        <w:rPr>
          <w:rFonts w:ascii="Arial" w:cs="Arial" w:eastAsia="Arial" w:hAnsi="Arial"/>
          <w:b/>
          <w:bCs/>
          <w:color w:val="1F3864"/>
          <w:sz w:val="24"/>
          <w:szCs w:val="24"/>
        </w:rPr>
        <w:t xml:space="preserve">Part A — Program movement</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3640"/>
        <w:gridCol w:w="2000"/>
        <w:gridCol w:w="2000"/>
        <w:gridCol w:w="2000"/>
      </w:tblGrid>
      <w:tr>
        <w:trPr>
          <w:tblHeader/>
        </w:trPr>
        <w:tc>
          <w:tcPr>
            <w:tcW w:type="dxa" w:w="364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Measure</w:t>
            </w:r>
          </w:p>
        </w:tc>
        <w:tc>
          <w:tcPr>
            <w:tcW w:type="dxa" w:w="20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Last cycle</w:t>
            </w:r>
          </w:p>
        </w:tc>
        <w:tc>
          <w:tcPr>
            <w:tcW w:type="dxa" w:w="20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This cycle</w:t>
            </w:r>
          </w:p>
        </w:tc>
        <w:tc>
          <w:tcPr>
            <w:tcW w:type="dxa" w:w="20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Change</w:t>
            </w:r>
          </w:p>
        </w:tc>
      </w:tr>
      <w:tr>
        <w:tc>
          <w:tcPr>
            <w:tcW w:type="dxa" w:w="36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b/>
                <w:bCs/>
                <w:sz w:val="19"/>
                <w:szCs w:val="19"/>
              </w:rPr>
              <w:t xml:space="preserve">Program score</w:t>
            </w:r>
          </w:p>
        </w:tc>
        <w:tc>
          <w:tcPr>
            <w:tcW w:type="dxa" w:w="20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i/>
                <w:iCs/>
                <w:color w:val="9AA4B2"/>
                <w:sz w:val="19"/>
                <w:szCs w:val="19"/>
              </w:rPr>
              <w:t xml:space="preserve">2.73</w:t>
            </w:r>
          </w:p>
        </w:tc>
        <w:tc>
          <w:tcPr>
            <w:tcW w:type="dxa" w:w="20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i/>
                <w:iCs/>
                <w:color w:val="9AA4B2"/>
                <w:sz w:val="19"/>
                <w:szCs w:val="19"/>
              </w:rPr>
              <w:t xml:space="preserve">3.06</w:t>
            </w:r>
          </w:p>
        </w:tc>
        <w:tc>
          <w:tcPr>
            <w:tcW w:type="dxa" w:w="20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i/>
                <w:iCs/>
                <w:color w:val="9AA4B2"/>
                <w:sz w:val="19"/>
                <w:szCs w:val="19"/>
              </w:rPr>
              <w:t xml:space="preserve">+0.33</w:t>
            </w:r>
          </w:p>
        </w:tc>
      </w:tr>
      <w:tr>
        <w:tc>
          <w:tcPr>
            <w:tcW w:type="dxa" w:w="364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b/>
                <w:bCs/>
                <w:sz w:val="19"/>
                <w:szCs w:val="19"/>
              </w:rPr>
              <w:t xml:space="preserve">Effectiveness rate (achieved + ½ partial)</w:t>
            </w:r>
          </w:p>
        </w:tc>
        <w:tc>
          <w:tcPr>
            <w:tcW w:type="dxa" w:w="20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20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20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r>
      <w:tr>
        <w:tc>
          <w:tcPr>
            <w:tcW w:type="dxa" w:w="36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b/>
                <w:bCs/>
                <w:sz w:val="19"/>
                <w:szCs w:val="19"/>
              </w:rPr>
              <w:t xml:space="preserve">Open (un-acted) items carried</w:t>
            </w:r>
          </w:p>
        </w:tc>
        <w:tc>
          <w:tcPr>
            <w:tcW w:type="dxa" w:w="20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20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20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r>
    </w:tbl>
    <w:p>
      <w:pPr>
        <w:spacing w:after="90" w:before="240"/>
      </w:pPr>
      <w:r>
        <w:rPr>
          <w:rFonts w:ascii="Arial" w:cs="Arial" w:eastAsia="Arial" w:hAnsi="Arial"/>
          <w:b/>
          <w:bCs/>
          <w:color w:val="1F3864"/>
          <w:sz w:val="24"/>
          <w:szCs w:val="24"/>
        </w:rPr>
        <w:t xml:space="preserve">Part B — Prior-commitment effectiveness (ledger pull)</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2700"/>
        <w:gridCol w:w="900"/>
        <w:gridCol w:w="800"/>
        <w:gridCol w:w="1240"/>
        <w:gridCol w:w="1640"/>
        <w:gridCol w:w="2360"/>
      </w:tblGrid>
      <w:tr>
        <w:trPr>
          <w:tblHeader/>
        </w:trPr>
        <w:tc>
          <w:tcPr>
            <w:tcW w:type="dxa" w:w="27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Commitment</w:t>
            </w:r>
          </w:p>
        </w:tc>
        <w:tc>
          <w:tcPr>
            <w:tcW w:type="dxa" w:w="9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Lane</w:t>
            </w:r>
          </w:p>
        </w:tc>
        <w:tc>
          <w:tcPr>
            <w:tcW w:type="dxa" w:w="8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Target</w:t>
            </w:r>
          </w:p>
        </w:tc>
        <w:tc>
          <w:tcPr>
            <w:tcW w:type="dxa" w:w="124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Result</w:t>
            </w:r>
          </w:p>
        </w:tc>
        <w:tc>
          <w:tcPr>
            <w:tcW w:type="dxa" w:w="164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Measured</w:t>
            </w:r>
          </w:p>
        </w:tc>
        <w:tc>
          <w:tcPr>
            <w:tcW w:type="dxa" w:w="236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ROI (est · confidence)</w:t>
            </w:r>
          </w:p>
        </w:tc>
      </w:tr>
      <w:tr>
        <w:tc>
          <w:tcPr>
            <w:tcW w:type="dxa" w:w="27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i/>
                <w:iCs/>
                <w:color w:val="9AA4B2"/>
                <w:sz w:val="19"/>
                <w:szCs w:val="19"/>
              </w:rPr>
              <w:t xml:space="preserve">e.g. 5-day authorization turnaround</w:t>
            </w:r>
          </w:p>
        </w:tc>
        <w:tc>
          <w:tcPr>
            <w:tcW w:type="dxa" w:w="9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i/>
                <w:iCs/>
                <w:color w:val="9AA4B2"/>
                <w:sz w:val="19"/>
                <w:szCs w:val="19"/>
              </w:rPr>
              <w:t xml:space="preserve">Client</w:t>
            </w:r>
          </w:p>
        </w:tc>
        <w:tc>
          <w:tcPr>
            <w:tcW w:type="dxa" w:w="8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i/>
                <w:iCs/>
                <w:color w:val="9AA4B2"/>
                <w:sz w:val="19"/>
                <w:szCs w:val="19"/>
              </w:rPr>
              <w:t xml:space="preserve">Q3</w:t>
            </w:r>
          </w:p>
        </w:tc>
        <w:tc>
          <w:tcPr>
            <w:tcW w:type="dxa" w:w="12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i/>
                <w:iCs/>
                <w:color w:val="9AA4B2"/>
                <w:sz w:val="19"/>
                <w:szCs w:val="19"/>
              </w:rPr>
              <w:t xml:space="preserve">Partial</w:t>
            </w:r>
          </w:p>
        </w:tc>
        <w:tc>
          <w:tcPr>
            <w:tcW w:type="dxa" w:w="16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i/>
                <w:iCs/>
                <w:color w:val="9AA4B2"/>
                <w:sz w:val="19"/>
                <w:szCs w:val="19"/>
              </w:rPr>
              <w:t xml:space="preserve">6.2-day avg</w:t>
            </w:r>
          </w:p>
        </w:tc>
        <w:tc>
          <w:tcPr>
            <w:tcW w:type="dxa" w:w="236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i/>
                <w:iCs/>
                <w:color w:val="9AA4B2"/>
                <w:sz w:val="19"/>
                <w:szCs w:val="19"/>
              </w:rPr>
              <w:t xml:space="preserve">— · Directional</w:t>
            </w:r>
          </w:p>
        </w:tc>
      </w:tr>
      <w:tr>
        <w:tc>
          <w:tcPr>
            <w:tcW w:type="dxa" w:w="27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9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8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24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64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236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r>
      <w:tr>
        <w:tc>
          <w:tcPr>
            <w:tcW w:type="dxa" w:w="27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9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8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2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6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236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r>
      <w:tr>
        <w:tc>
          <w:tcPr>
            <w:tcW w:type="dxa" w:w="27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9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8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24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64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236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r>
    </w:tbl>
    <w:p>
      <w:pPr>
        <w:spacing w:after="80" w:before="0" w:line="276"/>
      </w:pPr>
      <w:r>
        <w:rPr>
          <w:color w:val="5C6373"/>
          <w:sz w:val="19"/>
          <w:szCs w:val="19"/>
        </w:rPr>
        <w:t xml:space="preserve">Result is one of: Achieved · Partial · Not achieved · Too early · Not yet assessed. ROI is optional Layer 2 — disclose basis; confidence is High / Indicative / Directional.</w:t>
      </w:r>
    </w:p>
    <w:p>
      <w:pPr>
        <w:spacing w:after="90" w:before="240"/>
      </w:pPr>
      <w:r>
        <w:rPr>
          <w:rFonts w:ascii="Arial" w:cs="Arial" w:eastAsia="Arial" w:hAnsi="Arial"/>
          <w:b/>
          <w:bCs/>
          <w:color w:val="1F3864"/>
          <w:sz w:val="24"/>
          <w:szCs w:val="24"/>
        </w:rPr>
        <w:t xml:space="preserve">Part C — This cycle's forward commitments</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1700"/>
        <w:gridCol w:w="3140"/>
        <w:gridCol w:w="1300"/>
        <w:gridCol w:w="1200"/>
        <w:gridCol w:w="2300"/>
      </w:tblGrid>
      <w:tr>
        <w:trPr>
          <w:tblHeader/>
        </w:trPr>
        <w:tc>
          <w:tcPr>
            <w:tcW w:type="dxa" w:w="17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Owner / lane</w:t>
            </w:r>
          </w:p>
        </w:tc>
        <w:tc>
          <w:tcPr>
            <w:tcW w:type="dxa" w:w="314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Commitment</w:t>
            </w:r>
          </w:p>
        </w:tc>
        <w:tc>
          <w:tcPr>
            <w:tcW w:type="dxa" w:w="13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Target</w:t>
            </w:r>
          </w:p>
        </w:tc>
        <w:tc>
          <w:tcPr>
            <w:tcW w:type="dxa" w:w="12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Tier</w:t>
            </w:r>
          </w:p>
        </w:tc>
        <w:tc>
          <w:tcPr>
            <w:tcW w:type="dxa" w:w="23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Success measure</w:t>
            </w:r>
          </w:p>
        </w:tc>
      </w:tr>
      <w:tr>
        <w:tc>
          <w:tcPr>
            <w:tcW w:type="dxa" w:w="17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i/>
                <w:iCs/>
                <w:color w:val="9AA4B2"/>
                <w:sz w:val="19"/>
                <w:szCs w:val="19"/>
              </w:rPr>
              <w:t xml:space="preserve">Sedgwick</w:t>
            </w:r>
          </w:p>
        </w:tc>
        <w:tc>
          <w:tcPr>
            <w:tcW w:type="dxa" w:w="31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i/>
                <w:iCs/>
                <w:color w:val="9AA4B2"/>
                <w:sz w:val="19"/>
                <w:szCs w:val="19"/>
              </w:rPr>
              <w:t xml:space="preserve">e.g. caseload redistribution</w:t>
            </w:r>
          </w:p>
        </w:tc>
        <w:tc>
          <w:tcPr>
            <w:tcW w:type="dxa" w:w="13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i/>
                <w:iCs/>
                <w:color w:val="9AA4B2"/>
                <w:sz w:val="19"/>
                <w:szCs w:val="19"/>
              </w:rPr>
              <w:t xml:space="preserve">30 days</w:t>
            </w:r>
          </w:p>
        </w:tc>
        <w:tc>
          <w:tcPr>
            <w:tcW w:type="dxa" w:w="12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i/>
                <w:iCs/>
                <w:color w:val="9AA4B2"/>
                <w:sz w:val="19"/>
                <w:szCs w:val="19"/>
              </w:rPr>
              <w:t xml:space="preserve">Ledger</w:t>
            </w:r>
          </w:p>
        </w:tc>
        <w:tc>
          <w:tcPr>
            <w:tcW w:type="dxa" w:w="23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i/>
                <w:iCs/>
                <w:color w:val="9AA4B2"/>
                <w:sz w:val="19"/>
                <w:szCs w:val="19"/>
              </w:rPr>
              <w:t xml:space="preserve">≤140 files confirmed</w:t>
            </w:r>
          </w:p>
        </w:tc>
      </w:tr>
      <w:tr>
        <w:tc>
          <w:tcPr>
            <w:tcW w:type="dxa" w:w="17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314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3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2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23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r>
      <w:tr>
        <w:tc>
          <w:tcPr>
            <w:tcW w:type="dxa" w:w="17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31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3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2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23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r>
      <w:tr>
        <w:tc>
          <w:tcPr>
            <w:tcW w:type="dxa" w:w="17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314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3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2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23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r>
    </w:tbl>
    <w:p>
      <w:pPr>
        <w:spacing w:after="80" w:before="0" w:line="276"/>
      </w:pPr>
      <w:r>
        <w:rPr>
          <w:color w:val="5C6373"/>
          <w:sz w:val="19"/>
          <w:szCs w:val="19"/>
        </w:rPr>
        <w:t xml:space="preserve">Tier is Ledger line or Charter (material). Charter-tier items also carry a baseline, milestones, and a comparison cohort.</w:t>
      </w:r>
    </w:p>
    <w:p>
      <w:pPr>
        <w:spacing w:after="90" w:before="240"/>
      </w:pPr>
      <w:r>
        <w:rPr>
          <w:rFonts w:ascii="Arial" w:cs="Arial" w:eastAsia="Arial" w:hAnsi="Arial"/>
          <w:b/>
          <w:bCs/>
          <w:color w:val="1F3864"/>
          <w:sz w:val="24"/>
          <w:szCs w:val="24"/>
        </w:rPr>
        <w:t xml:space="preserve">Part D — Accountability routing summary</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2040"/>
        <w:gridCol w:w="1400"/>
        <w:gridCol w:w="1400"/>
        <w:gridCol w:w="1400"/>
        <w:gridCol w:w="1700"/>
        <w:gridCol w:w="1700"/>
      </w:tblGrid>
      <w:tr>
        <w:trPr>
          <w:tblHeader/>
        </w:trPr>
        <w:tc>
          <w:tcPr>
            <w:tcW w:type="dxa" w:w="204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Lane</w:t>
            </w:r>
          </w:p>
        </w:tc>
        <w:tc>
          <w:tcPr>
            <w:tcW w:type="dxa" w:w="14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Accepted</w:t>
            </w:r>
          </w:p>
        </w:tc>
        <w:tc>
          <w:tcPr>
            <w:tcW w:type="dxa" w:w="14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Deferred</w:t>
            </w:r>
          </w:p>
        </w:tc>
        <w:tc>
          <w:tcPr>
            <w:tcW w:type="dxa" w:w="14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Declined</w:t>
            </w:r>
          </w:p>
        </w:tc>
        <w:tc>
          <w:tcPr>
            <w:tcW w:type="dxa" w:w="17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Decline rate</w:t>
            </w:r>
          </w:p>
        </w:tc>
        <w:tc>
          <w:tcPr>
            <w:tcW w:type="dxa" w:w="17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Open items</w:t>
            </w:r>
          </w:p>
        </w:tc>
      </w:tr>
      <w:tr>
        <w:tc>
          <w:tcPr>
            <w:tcW w:type="dxa" w:w="20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b/>
                <w:bCs/>
                <w:sz w:val="19"/>
                <w:szCs w:val="19"/>
              </w:rPr>
              <w:t xml:space="preserve">Adjuster</w:t>
            </w:r>
          </w:p>
        </w:tc>
        <w:tc>
          <w:tcPr>
            <w:tcW w:type="dxa" w:w="14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4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4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7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7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r>
      <w:tr>
        <w:tc>
          <w:tcPr>
            <w:tcW w:type="dxa" w:w="204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b/>
                <w:bCs/>
                <w:sz w:val="19"/>
                <w:szCs w:val="19"/>
              </w:rPr>
              <w:t xml:space="preserve">Client</w:t>
            </w:r>
          </w:p>
        </w:tc>
        <w:tc>
          <w:tcPr>
            <w:tcW w:type="dxa" w:w="14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4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4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7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7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r>
      <w:tr>
        <w:tc>
          <w:tcPr>
            <w:tcW w:type="dxa" w:w="20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b/>
                <w:bCs/>
                <w:sz w:val="19"/>
                <w:szCs w:val="19"/>
              </w:rPr>
              <w:t xml:space="preserve">Sedgwick</w:t>
            </w:r>
          </w:p>
        </w:tc>
        <w:tc>
          <w:tcPr>
            <w:tcW w:type="dxa" w:w="14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4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4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7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7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r>
    </w:tbl>
    <w:p>
      <w:pPr>
        <w:spacing w:after="80" w:before="0" w:line="276"/>
      </w:pPr>
      <w:r>
        <w:rPr>
          <w:color w:val="5C6373"/>
          <w:sz w:val="19"/>
          <w:szCs w:val="19"/>
        </w:rPr>
        <w:t xml:space="preserve">Flag any lane with a decline rate at or above 40%. Open items remain tracked indefinitely until acted on or formally closed.</w:t>
      </w:r>
    </w:p>
    <w:p>
      <w:pPr>
        <w:spacing w:after="90" w:before="240"/>
      </w:pPr>
      <w:r>
        <w:rPr>
          <w:rFonts w:ascii="Arial" w:cs="Arial" w:eastAsia="Arial" w:hAnsi="Arial"/>
          <w:b/>
          <w:bCs/>
          <w:color w:val="1F3864"/>
          <w:sz w:val="24"/>
          <w:szCs w:val="24"/>
        </w:rPr>
        <w:t xml:space="preserve">Part E — Sign-off &amp; attestation</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2040"/>
        <w:gridCol w:w="2200"/>
        <w:gridCol w:w="1900"/>
        <w:gridCol w:w="1200"/>
        <w:gridCol w:w="2300"/>
      </w:tblGrid>
      <w:tr>
        <w:trPr>
          <w:tblHeader/>
        </w:trPr>
        <w:tc>
          <w:tcPr>
            <w:tcW w:type="dxa" w:w="204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Party</w:t>
            </w:r>
          </w:p>
        </w:tc>
        <w:tc>
          <w:tcPr>
            <w:tcW w:type="dxa" w:w="22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Name</w:t>
            </w:r>
          </w:p>
        </w:tc>
        <w:tc>
          <w:tcPr>
            <w:tcW w:type="dxa" w:w="19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Role</w:t>
            </w:r>
          </w:p>
        </w:tc>
        <w:tc>
          <w:tcPr>
            <w:tcW w:type="dxa" w:w="12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Date</w:t>
            </w:r>
          </w:p>
        </w:tc>
        <w:tc>
          <w:tcPr>
            <w:tcW w:type="dxa" w:w="23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Comment</w:t>
            </w:r>
          </w:p>
        </w:tc>
      </w:tr>
      <w:tr>
        <w:tc>
          <w:tcPr>
            <w:tcW w:type="dxa" w:w="20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b/>
                <w:bCs/>
                <w:sz w:val="19"/>
                <w:szCs w:val="19"/>
              </w:rPr>
              <w:t xml:space="preserve">Adjuster team</w:t>
            </w:r>
          </w:p>
        </w:tc>
        <w:tc>
          <w:tcPr>
            <w:tcW w:type="dxa" w:w="22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9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2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23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r>
      <w:tr>
        <w:tc>
          <w:tcPr>
            <w:tcW w:type="dxa" w:w="204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b/>
                <w:bCs/>
                <w:sz w:val="19"/>
                <w:szCs w:val="19"/>
              </w:rPr>
              <w:t xml:space="preserve">Client representative</w:t>
            </w:r>
          </w:p>
        </w:tc>
        <w:tc>
          <w:tcPr>
            <w:tcW w:type="dxa" w:w="22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9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12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c>
          <w:tcPr>
            <w:tcW w:type="dxa" w:w="23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
            </w:r>
          </w:p>
        </w:tc>
      </w:tr>
      <w:tr>
        <w:tc>
          <w:tcPr>
            <w:tcW w:type="dxa" w:w="20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b/>
                <w:bCs/>
                <w:sz w:val="19"/>
                <w:szCs w:val="19"/>
              </w:rPr>
              <w:t xml:space="preserve">Sedgwick leadership</w:t>
            </w:r>
          </w:p>
        </w:tc>
        <w:tc>
          <w:tcPr>
            <w:tcW w:type="dxa" w:w="22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9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12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c>
          <w:tcPr>
            <w:tcW w:type="dxa" w:w="23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
            </w:r>
          </w:p>
        </w:tc>
      </w:tr>
    </w:tbl>
    <w:p>
      <w:pPr>
        <w:spacing w:after="120" w:before="60" w:line="276"/>
      </w:pPr>
      <w:r>
        <w:rPr>
          <w:b/>
          <w:bCs/>
          <w:color w:val="1F3864"/>
          <w:sz w:val="22"/>
          <w:szCs w:val="22"/>
        </w:rPr>
        <w:t xml:space="preserve">Cycle integrity fingerprint:  </w:t>
      </w:r>
      <w:r>
        <w:rPr>
          <w:color w:val="9AA4B2"/>
          <w:sz w:val="22"/>
          <w:szCs w:val="22"/>
        </w:rPr>
        <w:t xml:space="preserve">________________   </w:t>
      </w:r>
      <w:r>
        <w:rPr>
          <w:i/>
          <w:iCs/>
          <w:color w:val="5C6373"/>
          <w:sz w:val="19"/>
          <w:szCs w:val="19"/>
        </w:rPr>
        <w:t xml:space="preserve">(copied from the locked Governance Register export — verifies the record is unaltered).</w:t>
      </w:r>
    </w:p>
    <w:p>
      <w:r>
        <w:br w:type="page"/>
      </w:r>
    </w:p>
    <w:p>
      <w:pPr>
        <w:pBdr>
          <w:bottom w:val="single" w:color="17A589" w:sz="14" w:space="6"/>
        </w:pBdr>
        <w:spacing w:after="140" w:before="340"/>
      </w:pPr>
      <w:r>
        <w:rPr>
          <w:rFonts w:ascii="Arial" w:cs="Arial" w:eastAsia="Arial" w:hAnsi="Arial"/>
          <w:b/>
          <w:bCs/>
          <w:color w:val="1F3864"/>
          <w:sz w:val="30"/>
          <w:szCs w:val="30"/>
        </w:rPr>
        <w:t xml:space="preserve">7.  Roles Across the Cycle</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2600"/>
        <w:gridCol w:w="3700"/>
        <w:gridCol w:w="3340"/>
      </w:tblGrid>
      <w:tr>
        <w:trPr>
          <w:tblHeader/>
        </w:trPr>
        <w:tc>
          <w:tcPr>
            <w:tcW w:type="dxa" w:w="26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Role</w:t>
            </w:r>
          </w:p>
        </w:tc>
        <w:tc>
          <w:tcPr>
            <w:tcW w:type="dxa" w:w="370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Owns</w:t>
            </w:r>
          </w:p>
        </w:tc>
        <w:tc>
          <w:tcPr>
            <w:tcW w:type="dxa" w:w="3340"/>
            <w:tcBorders>
              <w:top w:val="single" w:color="C9D2E0" w:sz="4"/>
              <w:left w:val="single" w:color="C9D2E0" w:sz="4"/>
              <w:bottom w:val="single" w:color="C9D2E0" w:sz="4"/>
              <w:right w:val="single" w:color="C9D2E0" w:sz="4"/>
            </w:tcBorders>
            <w:shd w:fill="1F3864" w:val="clear"/>
            <w:tcMar>
              <w:top w:type="dxa" w:w="60"/>
              <w:left w:type="dxa" w:w="100"/>
              <w:bottom w:type="dxa" w:w="60"/>
              <w:right w:type="dxa" w:w="100"/>
            </w:tcMar>
            <w:vAlign w:val="center"/>
          </w:tcPr>
          <w:p>
            <w:pPr>
              <w:spacing w:after="0" w:line="250"/>
            </w:pPr>
            <w:r>
              <w:rPr>
                <w:b/>
                <w:bCs/>
                <w:color w:val="FFFFFF"/>
                <w:sz w:val="19"/>
                <w:szCs w:val="19"/>
              </w:rPr>
              <w:t xml:space="preserve">Hands off</w:t>
            </w:r>
          </w:p>
        </w:tc>
      </w:tr>
      <w:tr>
        <w:tc>
          <w:tcPr>
            <w:tcW w:type="dxa" w:w="26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b/>
                <w:bCs/>
                <w:sz w:val="19"/>
                <w:szCs w:val="19"/>
              </w:rPr>
              <w:t xml:space="preserve">Acuity Analyst</w:t>
            </w:r>
          </w:p>
        </w:tc>
        <w:tc>
          <w:tcPr>
            <w:tcW w:type="dxa" w:w="37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Audit, diagnosis, routing, report, gate, ledger, ROL</w:t>
            </w:r>
          </w:p>
        </w:tc>
        <w:tc>
          <w:tcPr>
            <w:tcW w:type="dxa" w:w="33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Signed report + locked record to the Committee</w:t>
            </w:r>
          </w:p>
        </w:tc>
      </w:tr>
      <w:tr>
        <w:tc>
          <w:tcPr>
            <w:tcW w:type="dxa" w:w="26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b/>
                <w:bCs/>
                <w:sz w:val="19"/>
                <w:szCs w:val="19"/>
              </w:rPr>
              <w:t xml:space="preserve">Audit / Governance Committee</w:t>
            </w:r>
          </w:p>
        </w:tc>
        <w:tc>
          <w:tcPr>
            <w:tcW w:type="dxa" w:w="37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Independent oversight; receives and reviews the cycle</w:t>
            </w:r>
          </w:p>
        </w:tc>
        <w:tc>
          <w:tcPr>
            <w:tcW w:type="dxa" w:w="334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Endorsed findings; client-routed items released</w:t>
            </w:r>
          </w:p>
        </w:tc>
      </w:tr>
      <w:tr>
        <w:tc>
          <w:tcPr>
            <w:tcW w:type="dxa" w:w="26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b/>
                <w:bCs/>
                <w:sz w:val="19"/>
                <w:szCs w:val="19"/>
              </w:rPr>
              <w:t xml:space="preserve">Client representative</w:t>
            </w:r>
          </w:p>
        </w:tc>
        <w:tc>
          <w:tcPr>
            <w:tcW w:type="dxa" w:w="37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Client-lane findings and their internal action</w:t>
            </w:r>
          </w:p>
        </w:tc>
        <w:tc>
          <w:tcPr>
            <w:tcW w:type="dxa" w:w="33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Attestation (signature, role, date, comment)</w:t>
            </w:r>
          </w:p>
        </w:tc>
      </w:tr>
      <w:tr>
        <w:tc>
          <w:tcPr>
            <w:tcW w:type="dxa" w:w="26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b/>
                <w:bCs/>
                <w:sz w:val="19"/>
                <w:szCs w:val="19"/>
              </w:rPr>
              <w:t xml:space="preserve">Sedgwick leadership</w:t>
            </w:r>
          </w:p>
        </w:tc>
        <w:tc>
          <w:tcPr>
            <w:tcW w:type="dxa" w:w="370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Leadership-lane commitments</w:t>
            </w:r>
          </w:p>
        </w:tc>
        <w:tc>
          <w:tcPr>
            <w:tcW w:type="dxa" w:w="3340"/>
            <w:tcBorders>
              <w:top w:val="single" w:color="C9D2E0" w:sz="4"/>
              <w:left w:val="single" w:color="C9D2E0" w:sz="4"/>
              <w:bottom w:val="single" w:color="C9D2E0" w:sz="4"/>
              <w:right w:val="single" w:color="C9D2E0" w:sz="4"/>
            </w:tcBorders>
            <w:shd w:fill="F6F8FB" w:val="clear"/>
            <w:tcMar>
              <w:top w:type="dxa" w:w="60"/>
              <w:left w:type="dxa" w:w="100"/>
              <w:bottom w:type="dxa" w:w="60"/>
              <w:right w:type="dxa" w:w="100"/>
            </w:tcMar>
            <w:vAlign w:val="center"/>
          </w:tcPr>
          <w:p>
            <w:pPr>
              <w:spacing w:after="0" w:line="250"/>
            </w:pPr>
            <w:r>
              <w:rPr>
                <w:sz w:val="19"/>
                <w:szCs w:val="19"/>
              </w:rPr>
              <w:t xml:space="preserve">Operational commitments into the next cycle</w:t>
            </w:r>
          </w:p>
        </w:tc>
      </w:tr>
      <w:tr>
        <w:tc>
          <w:tcPr>
            <w:tcW w:type="dxa" w:w="26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b/>
                <w:bCs/>
                <w:sz w:val="19"/>
                <w:szCs w:val="19"/>
              </w:rPr>
              <w:t xml:space="preserve">Claims Committee</w:t>
            </w:r>
          </w:p>
        </w:tc>
        <w:tc>
          <w:tcPr>
            <w:tcW w:type="dxa" w:w="370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High-risk strata (parallel track, outside the audit)</w:t>
            </w:r>
          </w:p>
        </w:tc>
        <w:tc>
          <w:tcPr>
            <w:tcW w:type="dxa" w:w="3340"/>
            <w:tcBorders>
              <w:top w:val="single" w:color="C9D2E0" w:sz="4"/>
              <w:left w:val="single" w:color="C9D2E0" w:sz="4"/>
              <w:bottom w:val="single" w:color="C9D2E0" w:sz="4"/>
              <w:right w:val="single" w:color="C9D2E0" w:sz="4"/>
            </w:tcBorders>
            <w:tcMar>
              <w:top w:type="dxa" w:w="60"/>
              <w:left w:type="dxa" w:w="100"/>
              <w:bottom w:type="dxa" w:w="60"/>
              <w:right w:type="dxa" w:w="100"/>
            </w:tcMar>
            <w:vAlign w:val="center"/>
          </w:tcPr>
          <w:p>
            <w:pPr>
              <w:spacing w:after="0" w:line="250"/>
            </w:pPr>
            <w:r>
              <w:rPr>
                <w:sz w:val="19"/>
                <w:szCs w:val="19"/>
              </w:rPr>
              <w:t xml:space="preserve">Risk-file outcomes back to the program record</w:t>
            </w:r>
          </w:p>
        </w:tc>
      </w:tr>
    </w:tbl>
    <w:p>
      <w:pPr>
        <w:spacing w:after="120" w:before="60" w:line="276"/>
      </w:pPr>
      <w:r>
        <w:rPr>
          <w:i/>
          <w:iCs/>
          <w:color w:val="5C6373"/>
          <w:sz w:val="22"/>
          <w:szCs w:val="22"/>
        </w:rPr>
        <w:t xml:space="preserve">The Analyst reports to the Audit / Governance Committee, independent of the operations audited.</w:t>
      </w:r>
    </w:p>
    <w:p>
      <w:pPr>
        <w:pBdr>
          <w:bottom w:val="single" w:color="17A589" w:sz="14" w:space="6"/>
        </w:pBdr>
        <w:spacing w:after="140" w:before="340"/>
      </w:pPr>
      <w:r>
        <w:rPr>
          <w:rFonts w:ascii="Arial" w:cs="Arial" w:eastAsia="Arial" w:hAnsi="Arial"/>
          <w:b/>
          <w:bCs/>
          <w:color w:val="1F3864"/>
          <w:sz w:val="30"/>
          <w:szCs w:val="30"/>
        </w:rPr>
        <w:t xml:space="preserve">8.  The Seams, Now Closed</w:t>
      </w:r>
    </w:p>
    <w:p>
      <w:pPr>
        <w:spacing w:after="120" w:before="0" w:line="276"/>
      </w:pPr>
      <w:r>
        <w:rPr>
          <w:sz w:val="22"/>
          <w:szCs w:val="22"/>
        </w:rPr>
        <w:t xml:space="preserve">The two transitions that once moved by hand now reconcile automatically, through a shared cycle-package format (schema ACP-1.0) that all three instruments read and write. The handoff no longer depends on careful re-keying.</w:t>
      </w:r>
    </w:p>
    <w:p>
      <w:pPr>
        <w:pStyle w:val="ListParagraph"/>
        <w:numPr>
          <w:ilvl w:val="0"/>
          <w:numId w:val="2"/>
        </w:numPr>
        <w:spacing w:after="70" w:line="270"/>
      </w:pPr>
      <w:r>
        <w:rPr>
          <w:b/>
          <w:bCs/>
          <w:sz w:val="22"/>
          <w:szCs w:val="22"/>
        </w:rPr>
        <w:t xml:space="preserve">Seam 2 (Report → Register): </w:t>
      </w:r>
      <w:r>
        <w:rPr>
          <w:sz w:val="22"/>
          <w:szCs w:val="22"/>
        </w:rPr>
        <w:t xml:space="preserve">the Aggregator exports the cycle as a package the Register ingests directly. Decisions, owners, and measures flow in without re-keying.</w:t>
      </w:r>
    </w:p>
    <w:p>
      <w:pPr>
        <w:pStyle w:val="ListParagraph"/>
        <w:numPr>
          <w:ilvl w:val="0"/>
          <w:numId w:val="2"/>
        </w:numPr>
        <w:spacing w:after="70" w:line="270"/>
      </w:pPr>
      <w:r>
        <w:rPr>
          <w:b/>
          <w:bCs/>
          <w:sz w:val="22"/>
          <w:szCs w:val="22"/>
        </w:rPr>
        <w:t xml:space="preserve">Seam 3 (the gate): </w:t>
      </w:r>
      <w:r>
        <w:rPr>
          <w:sz w:val="22"/>
          <w:szCs w:val="22"/>
        </w:rPr>
        <w:t xml:space="preserve">the Register exports the prior cycle as a package, and the cycle-open gate auto-fills from it. The effectiveness ledger and the gate stay reconciled on their own.</w:t>
      </w:r>
    </w:p>
    <w:tbl>
      <w:tblPr>
        <w:tblW w:type="dxa" w:w="9640"/>
        <w:tblBorders>
          <w:top w:val="single" w:color="auto" w:sz="4"/>
          <w:left w:val="single" w:color="auto" w:sz="4"/>
          <w:bottom w:val="single" w:color="auto" w:sz="4"/>
          <w:right w:val="single" w:color="auto" w:sz="4"/>
          <w:insideH w:val="single" w:color="auto" w:sz="4"/>
          <w:insideV w:val="single" w:color="auto" w:sz="4"/>
        </w:tblBorders>
      </w:tblPr>
      <w:tblGrid>
        <w:gridCol w:w="9640"/>
      </w:tblGrid>
      <w:tr>
        <w:tc>
          <w:tcPr>
            <w:tcW w:type="dxa" w:w="9640"/>
            <w:tcBorders>
              <w:top w:val="single" w:color="3FB99E" w:sz="4"/>
              <w:left w:val="single" w:color="3FB99E" w:sz="18"/>
              <w:bottom w:val="single" w:color="3FB99E" w:sz="4"/>
              <w:right w:val="single" w:color="3FB99E" w:sz="4"/>
            </w:tcBorders>
            <w:shd w:fill="E7F4F0" w:val="clear"/>
            <w:tcMar>
              <w:top w:type="dxa" w:w="120"/>
              <w:left w:type="dxa" w:w="160"/>
              <w:bottom w:type="dxa" w:w="120"/>
              <w:right w:type="dxa" w:w="140"/>
            </w:tcMar>
          </w:tcPr>
          <w:p>
            <w:pPr>
              <w:spacing w:after="70"/>
            </w:pPr>
            <w:r>
              <w:rPr>
                <w:b/>
                <w:bCs/>
                <w:color w:val="17A589"/>
                <w:sz w:val="21"/>
                <w:szCs w:val="21"/>
              </w:rPr>
              <w:t xml:space="preserve">What the Handoff Log is now for</w:t>
            </w:r>
          </w:p>
          <w:p>
            <w:pPr>
              <w:pStyle w:val="ListParagraph"/>
              <w:numPr>
                <w:ilvl w:val="0"/>
                <w:numId w:val="2"/>
              </w:numPr>
              <w:spacing w:after="50" w:line="264"/>
            </w:pPr>
            <w:r>
              <w:rPr>
                <w:color w:val="333333"/>
                <w:sz w:val="21"/>
                <w:szCs w:val="21"/>
              </w:rPr>
              <w:t xml:space="preserve">With the transfer automated, the Handoff Log is no longer a workaround — it is the human record of custody: who passed which cycle package to whom, and on what date. The data moves automatically; the accountability is still signed.</w:t>
            </w:r>
          </w:p>
        </w:tc>
      </w:tr>
    </w:tbl>
    <w:sectPr>
      <w:footerReference w:type="default" r:id="rId7"/>
      <w:pgSz w:w="12240" w:h="15840" w:orient="portrait"/>
      <w:pgMar w:top="1300" w:right="1300" w:bottom="1300" w:left="13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C9D2E0" w:sz="4" w:space="6"/>
      </w:pBdr>
      <w:tabs>
        <w:tab w:val="right" w:pos="9640"/>
      </w:tabs>
    </w:pPr>
    <w:r>
      <w:rPr>
        <w:color w:val="5C6373"/>
        <w:sz w:val="16"/>
        <w:szCs w:val="16"/>
      </w:rPr>
      <w:t xml:space="preserve">Acuity — Cycle Handoff &amp; Outcome Reporting Template  ·  reusable each cycle</w:t>
    </w:r>
    <w:r>
      <w:rPr>
        <w:color w:val="5C6373"/>
        <w:sz w:val="16"/>
        <w:szCs w:val="16"/>
      </w:rPr>
      <w:t xml:space="preserve">	Page </w:t>
    </w:r>
    <w:r>
      <w:rPr>
        <w:color w:val="5C6373"/>
        <w:sz w:val="16"/>
        <w:szCs w:val="16"/>
      </w:rPr>
      <w:fldChar w:fldCharType="begin"/>
      <w:instrText xml:space="preserve">PAGE</w:instrText>
      <w:fldChar w:fldCharType="separate"/>
      <w:fldChar w:fldCharType="end"/>
    </w:r>
    <w:r>
      <w:rPr>
        <w:color w:val="5C6373"/>
        <w:sz w:val="16"/>
        <w:szCs w:val="16"/>
      </w:rPr>
      <w:t xml:space="preserve"> of </w:t>
    </w:r>
    <w:r>
      <w:rPr>
        <w:color w:val="5C6373"/>
        <w:sz w:val="16"/>
        <w:szCs w:val="16"/>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460" w:hanging="24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color w:val="222222"/>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40" w:before="340"/>
      <w:outlineLvl w:val="0"/>
    </w:pPr>
    <w:rPr>
      <w:rFonts w:ascii="Arial" w:cs="Arial" w:eastAsia="Arial" w:hAnsi="Arial"/>
      <w:b/>
      <w:bCs/>
      <w:color w:val="1F3864"/>
      <w:sz w:val="30"/>
      <w:szCs w:val="30"/>
    </w:rPr>
  </w:style>
  <w:style w:type="paragraph" w:styleId="Heading2">
    <w:name w:val="Heading 2"/>
    <w:basedOn w:val="Normal"/>
    <w:next w:val="Normal"/>
    <w:qFormat/>
    <w:pPr>
      <w:spacing w:after="90" w:before="240"/>
      <w:outlineLvl w:val="1"/>
    </w:pPr>
    <w:rPr>
      <w:rFonts w:ascii="Arial" w:cs="Arial" w:eastAsia="Arial" w:hAnsi="Arial"/>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footer" Target="footer1.xml"/><Relationship Id="rId8"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Acuity Cycle Handoff &amp; Outcome Reporting Template</dc:title>
  <dc:creator>Acuity — Sedgwick Canada</dc:creator>
  <cp:lastModifiedBy>Un-named</cp:lastModifiedBy>
  <cp:revision>1</cp:revision>
  <dcterms:created xsi:type="dcterms:W3CDTF">2026-05-26T13:30:04.190Z</dcterms:created>
  <dcterms:modified xsi:type="dcterms:W3CDTF">2026-05-26T13:30:04.190Z</dcterms:modified>
</cp:coreProperties>
</file>

<file path=docProps/custom.xml><?xml version="1.0" encoding="utf-8"?>
<Properties xmlns="http://schemas.openxmlformats.org/officeDocument/2006/custom-properties" xmlns:vt="http://schemas.openxmlformats.org/officeDocument/2006/docPropsVTypes"/>
</file>