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60"/>
      </w:pPr>
      <w:r>
        <w:t xml:space="preserve"/>
      </w:r>
    </w:p>
    <w:p>
      <w:pPr>
        <w:spacing w:after="60"/>
      </w:pPr>
      <w:r>
        <w:rPr>
          <w:b/>
          <w:bCs/>
          <w:caps/>
          <w:color w:val="17A589"/>
          <w:spacing w:val="40"/>
          <w:sz w:val="19"/>
          <w:szCs w:val="19"/>
        </w:rPr>
        <w:t xml:space="preserve">Governance Standard</w:t>
      </w:r>
    </w:p>
    <w:p>
      <w:pPr>
        <w:pBdr>
          <w:bottom w:val="single" w:color="1F3864" w:sz="20" w:space="10"/>
        </w:pBdr>
        <w:spacing w:after="40"/>
      </w:pPr>
      <w:r>
        <w:rPr>
          <w:rFonts w:ascii="Arial" w:cs="Arial" w:eastAsia="Arial" w:hAnsi="Arial"/>
          <w:b/>
          <w:bCs/>
          <w:color w:val="1F3864"/>
          <w:sz w:val="54"/>
          <w:szCs w:val="54"/>
        </w:rPr>
        <w:t xml:space="preserve">The Acuity Certification Process</w:t>
      </w:r>
    </w:p>
    <w:p>
      <w:pPr>
        <w:spacing w:after="0" w:before="160"/>
      </w:pPr>
      <w:r>
        <w:rPr>
          <w:i/>
          <w:iCs/>
          <w:color w:val="5C6373"/>
          <w:sz w:val="26"/>
          <w:szCs w:val="26"/>
        </w:rPr>
        <w:t xml:space="preserve">Establishing who is qualified to operate Acuity as a governance instrument — and how the program itself is certified each cycle.</w:t>
      </w:r>
    </w:p>
    <w:p>
      <w:pPr>
        <w:spacing w:after="360"/>
      </w:pPr>
      <w:r>
        <w:t xml:space="preserve"/>
      </w:r>
    </w:p>
    <w:p>
      <w:pPr>
        <w:spacing w:after="60"/>
      </w:pPr>
      <w:r>
        <w:rPr>
          <w:b/>
          <w:bCs/>
          <w:caps/>
          <w:color w:val="1F3864"/>
          <w:spacing w:val="10"/>
          <w:sz w:val="20"/>
          <w:szCs w:val="20"/>
        </w:rPr>
        <w:t xml:space="preserve">Prepared by  </w:t>
      </w:r>
      <w:r>
        <w:rPr>
          <w:color w:val="5C6373"/>
          <w:sz w:val="22"/>
          <w:szCs w:val="22"/>
        </w:rPr>
        <w:t xml:space="preserve">________________________</w:t>
      </w:r>
    </w:p>
    <w:p>
      <w:pPr>
        <w:spacing w:after="60"/>
      </w:pPr>
      <w:r>
        <w:rPr>
          <w:b/>
          <w:bCs/>
          <w:caps/>
          <w:color w:val="1F3864"/>
          <w:spacing w:val="10"/>
          <w:sz w:val="20"/>
          <w:szCs w:val="20"/>
        </w:rPr>
        <w:t xml:space="preserve">Version  </w:t>
      </w:r>
      <w:r>
        <w:rPr>
          <w:color w:val="5C6373"/>
          <w:sz w:val="22"/>
          <w:szCs w:val="22"/>
        </w:rPr>
        <w:t xml:space="preserve">v1.1 — aligned to recorded standards</w:t>
      </w:r>
    </w:p>
    <w:p>
      <w:pPr>
        <w:spacing w:after="60"/>
      </w:pPr>
      <w:r>
        <w:rPr>
          <w:b/>
          <w:bCs/>
          <w:caps/>
          <w:color w:val="1F3864"/>
          <w:spacing w:val="10"/>
          <w:sz w:val="20"/>
          <w:szCs w:val="20"/>
        </w:rPr>
        <w:t xml:space="preserve">Date  </w:t>
      </w:r>
      <w:r>
        <w:rPr>
          <w:color w:val="5C6373"/>
          <w:sz w:val="22"/>
          <w:szCs w:val="22"/>
        </w:rPr>
        <w:t xml:space="preserve">________________________</w:t>
      </w:r>
    </w:p>
    <w:p>
      <w:pPr>
        <w:spacing w:after="60"/>
      </w:pPr>
      <w:r>
        <w:rPr>
          <w:b/>
          <w:bCs/>
          <w:caps/>
          <w:color w:val="1F3864"/>
          <w:spacing w:val="10"/>
          <w:sz w:val="20"/>
          <w:szCs w:val="20"/>
        </w:rPr>
        <w:t xml:space="preserve">Owner  </w:t>
      </w:r>
      <w:r>
        <w:rPr>
          <w:color w:val="5C6373"/>
          <w:sz w:val="22"/>
          <w:szCs w:val="22"/>
        </w:rPr>
        <w:t xml:space="preserve">Office of Claims Performance Intelligence</w:t>
      </w:r>
    </w:p>
    <w:p>
      <w:pPr>
        <w:spacing w:after="260"/>
      </w:pPr>
      <w:r>
        <w:t xml:space="preserve"/>
      </w:r>
    </w:p>
    <w:p>
      <w:pPr>
        <w:pBdr>
          <w:top w:val="single" w:color="C9D2E0" w:sz="6" w:space="6"/>
        </w:pBdr>
        <w:spacing w:after="0" w:before="40"/>
      </w:pPr>
      <w:r>
        <w:rPr>
          <w:caps/>
          <w:color w:val="5C6373"/>
          <w:spacing w:val="14"/>
          <w:sz w:val="18"/>
          <w:szCs w:val="18"/>
        </w:rPr>
        <w:t xml:space="preserve">Acuity — Claims Performance Intelligence  ·  Sedgwick Canada</w:t>
      </w:r>
    </w:p>
    <w:p>
      <w:pPr>
        <w:spacing w:before="0"/>
      </w:pPr>
      <w:r>
        <w:br w:type="page"/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1.  Why Acuity Requires Certification</w:t>
      </w:r>
    </w:p>
    <w:p>
      <w:pPr>
        <w:spacing w:after="120" w:before="0" w:line="276"/>
      </w:pPr>
      <w:r>
        <w:rPr>
          <w:sz w:val="22"/>
          <w:szCs w:val="22"/>
        </w:rPr>
        <w:t xml:space="preserve">Acuity is not a checklist. It is a diagnostic and governance instrument: it assigns a root cause to a finding, routes accountability to the party that owns it — including the client and Sedgwick leadership — and produces a signed, tamper-evident record that can inform performance processes and client commitments. That power is exactly why the people who wield it, and the program that runs it, must be formally certified.</w:t>
      </w:r>
    </w:p>
    <w:p>
      <w:pPr>
        <w:spacing w:after="120" w:before="0" w:line="276"/>
      </w:pPr>
      <w:r>
        <w:rPr>
          <w:sz w:val="22"/>
          <w:szCs w:val="22"/>
        </w:rPr>
        <w:t xml:space="preserve">Three consequences follow directly from the methodology and make certification non-negotiable: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b/>
          <w:bCs/>
          <w:sz w:val="22"/>
          <w:szCs w:val="22"/>
        </w:rPr>
        <w:t xml:space="preserve">Defensibility. </w:t>
      </w:r>
      <w:r>
        <w:rPr>
          <w:sz w:val="22"/>
          <w:szCs w:val="22"/>
        </w:rPr>
        <w:t xml:space="preserve">A finding may route accountability to a client or to leadership, or feed a performance conversation. It must withstand challenge — from a client executive, an adjuster, a union, or counsel. An uncertified hand undermines every finding the program produces.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b/>
          <w:bCs/>
          <w:sz w:val="22"/>
          <w:szCs w:val="22"/>
        </w:rPr>
        <w:t xml:space="preserve">Consistency. </w:t>
      </w:r>
      <w:r>
        <w:rPr>
          <w:sz w:val="22"/>
          <w:szCs w:val="22"/>
        </w:rPr>
        <w:t xml:space="preserve">The same evidence must yield the same root-cause code and the same lane, regardless of who audits. Without certified calibration, the program measures the auditor, not the file.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b/>
          <w:bCs/>
          <w:sz w:val="22"/>
          <w:szCs w:val="22"/>
        </w:rPr>
        <w:t xml:space="preserve">Credibility. </w:t>
      </w:r>
      <w:r>
        <w:rPr>
          <w:sz w:val="22"/>
          <w:szCs w:val="22"/>
        </w:rPr>
        <w:t xml:space="preserve">Acuity is presented to clients such as Amazon and FedEx as the program’s governance backbone. Certification is the proof that the backbone is operated by qualified people under a controlled standard.</w:t>
      </w:r>
    </w:p>
    <w:p>
      <w:pPr>
        <w:spacing w:after="120" w:before="0" w:line="276"/>
      </w:pPr>
      <w:r>
        <w:rPr>
          <w:i/>
          <w:iCs/>
          <w:color w:val="5C6373"/>
          <w:sz w:val="22"/>
          <w:szCs w:val="22"/>
        </w:rPr>
        <w:t xml:space="preserve">Certification converts Acuity from “a capable individual’s method” into an institutional standard that survives turnover, scales across accounts, and holds up under scrutiny.</w:t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2.  What Is Certified — Two Tracks</w:t>
      </w:r>
    </w:p>
    <w:p>
      <w:pPr>
        <w:spacing w:after="120" w:before="0" w:line="276"/>
      </w:pPr>
      <w:r>
        <w:rPr>
          <w:sz w:val="22"/>
          <w:szCs w:val="22"/>
        </w:rPr>
        <w:t xml:space="preserve">The process certifies two distinct things. Both are required for the program to be considered governed.</w:t>
      </w:r>
    </w:p>
    <w:p>
      <w:pPr>
        <w:pStyle w:val="Heading2"/>
        <w:spacing w:after="90" w:before="24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Track A — Practitioner Certification</w:t>
      </w:r>
    </w:p>
    <w:p>
      <w:pPr>
        <w:spacing w:after="120" w:before="0" w:line="276"/>
      </w:pPr>
      <w:r>
        <w:rPr>
          <w:sz w:val="22"/>
          <w:szCs w:val="22"/>
        </w:rPr>
        <w:t xml:space="preserve">Certifies an individual’s competence to conduct Acuity audits, assign root cause, route accountability, and participate in governance — at a defined level of authority.</w:t>
      </w:r>
    </w:p>
    <w:p>
      <w:pPr>
        <w:pStyle w:val="Heading2"/>
        <w:spacing w:after="90" w:before="24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Track B — Program-Integrity Certification</w:t>
      </w:r>
    </w:p>
    <w:p>
      <w:pPr>
        <w:spacing w:after="120" w:before="0" w:line="276"/>
      </w:pPr>
      <w:r>
        <w:rPr>
          <w:sz w:val="22"/>
          <w:szCs w:val="22"/>
        </w:rPr>
        <w:t xml:space="preserve">Certifies, each cycle, that the program as a whole was operated to standard: independence maintained, calibration performed, the sign-off chain intact, and the record tamper-evident. Track B is the annual attestation that the system — not just the people — remained sound.</w:t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3.  Practitioner Certification Levels</w:t>
      </w:r>
    </w:p>
    <w:p>
      <w:pPr>
        <w:spacing w:after="120" w:before="0" w:line="276"/>
      </w:pPr>
      <w:r>
        <w:rPr>
          <w:sz w:val="22"/>
          <w:szCs w:val="22"/>
        </w:rPr>
        <w:t xml:space="preserve">Three ascending levels, each mapped to a scope of authority. Level defines what a practitioner may do unsupervised.</w:t>
      </w:r>
    </w:p>
    <w:tbl>
      <w:tblPr>
        <w:tblW w:type="dxa" w:w="9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2640"/>
        <w:gridCol w:w="4300"/>
        <w:gridCol w:w="1800"/>
      </w:tblGrid>
      <w:tr>
        <w:trPr>
          <w:tblHeader/>
        </w:trPr>
        <w:tc>
          <w:tcPr>
            <w:tcW w:type="dxa" w:w="9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Level</w:t>
            </w:r>
          </w:p>
        </w:tc>
        <w:tc>
          <w:tcPr>
            <w:tcW w:type="dxa" w:w="26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Designation</w:t>
            </w:r>
          </w:p>
        </w:tc>
        <w:tc>
          <w:tcPr>
            <w:tcW w:type="dxa" w:w="43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Authority granted</w:t>
            </w:r>
          </w:p>
        </w:tc>
        <w:tc>
          <w:tcPr>
            <w:tcW w:type="dxa" w:w="18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Prerequisite</w:t>
            </w:r>
          </w:p>
        </w:tc>
      </w:tr>
      <w:tr>
        <w:tc>
          <w:tcPr>
            <w:tcW w:type="dxa" w:w="9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L1</w:t>
            </w:r>
          </w:p>
        </w:tc>
        <w:tc>
          <w:tcPr>
            <w:tcW w:type="dxa" w:w="26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Certified Acuity Auditor</w:t>
            </w:r>
          </w:p>
        </w:tc>
        <w:tc>
          <w:tcPr>
            <w:tcW w:type="dxa" w:w="43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Conducts file-level audits and drafts root-cause codes under review of an L2+. No independent routing or sign-off.</w:t>
            </w:r>
          </w:p>
        </w:tc>
        <w:tc>
          <w:tcPr>
            <w:tcW w:type="dxa" w:w="18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Claims experience + L1 assessment</w:t>
            </w:r>
          </w:p>
        </w:tc>
      </w:tr>
      <w:tr>
        <w:tc>
          <w:tcPr>
            <w:tcW w:type="dxa" w:w="9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L2</w:t>
            </w:r>
          </w:p>
        </w:tc>
        <w:tc>
          <w:tcPr>
            <w:tcW w:type="dxa" w:w="26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Certified Acuity Analyst</w:t>
            </w:r>
          </w:p>
        </w:tc>
        <w:tc>
          <w:tcPr>
            <w:tcW w:type="dxa" w:w="43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Full independent practice: diagnoses root cause, routes accountability across all three lanes, authors the analyst narrative, and signs cycle findings.</w:t>
            </w:r>
          </w:p>
        </w:tc>
        <w:tc>
          <w:tcPr>
            <w:tcW w:type="dxa" w:w="18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L1 + supervised portfolio + L2 panel</w:t>
            </w:r>
          </w:p>
        </w:tc>
      </w:tr>
      <w:tr>
        <w:tc>
          <w:tcPr>
            <w:tcW w:type="dxa" w:w="9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L3</w:t>
            </w:r>
          </w:p>
        </w:tc>
        <w:tc>
          <w:tcPr>
            <w:tcW w:type="dxa" w:w="26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6C3483"/>
                <w:sz w:val="20"/>
                <w:szCs w:val="20"/>
              </w:rPr>
              <w:t xml:space="preserve">Acuity Lead Examiner</w:t>
            </w:r>
          </w:p>
        </w:tc>
        <w:tc>
          <w:tcPr>
            <w:tcW w:type="dxa" w:w="43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Owns methodology integrity: sets the calibration master key, certifies and recalibrates others, adjudicates disputed codes, and signs Program-Integrity Certification.</w:t>
            </w:r>
          </w:p>
        </w:tc>
        <w:tc>
          <w:tcPr>
            <w:tcW w:type="dxa" w:w="18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L2 + calibration authority assessment</w:t>
            </w:r>
          </w:p>
        </w:tc>
      </w:tr>
    </w:tbl>
    <w:p>
      <w:pPr>
        <w:spacing w:after="120" w:before="60" w:line="276"/>
      </w:pPr>
      <w:r>
        <w:rPr>
          <w:i/>
          <w:iCs/>
          <w:color w:val="5C6373"/>
          <w:sz w:val="22"/>
          <w:szCs w:val="22"/>
        </w:rPr>
        <w:t xml:space="preserve">The L2 “Certified Acuity Analyst” is the role detailed in the companion role description. It is the keystone of the program.</w:t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4.  Competency Domains</w:t>
      </w:r>
    </w:p>
    <w:p>
      <w:pPr>
        <w:spacing w:after="120" w:before="0" w:line="276"/>
      </w:pPr>
      <w:r>
        <w:rPr>
          <w:sz w:val="22"/>
          <w:szCs w:val="22"/>
        </w:rPr>
        <w:t xml:space="preserve">Certification at every level tests the same seven domains, at increasing depth. These are the capabilities that distinguish an Acuity practitioner from a conventional file reviewer.</w:t>
      </w:r>
    </w:p>
    <w:tbl>
      <w:tblPr>
        <w:tblW w:type="dxa" w:w="9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60"/>
        <w:gridCol w:w="2840"/>
        <w:gridCol w:w="6240"/>
      </w:tblGrid>
      <w:tr>
        <w:trPr>
          <w:tblHeader/>
        </w:trP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Competency domain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What must be demonstrated</w:t>
            </w:r>
          </w:p>
        </w:tc>
      </w:tr>
      <w:t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1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Technical claims mastery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Multi-jurisdictional Canadian WC: adjudication, reserving, return-to-work, benefit calculation, legislative nuance across provinces.</w:t>
            </w:r>
          </w:p>
        </w:tc>
      </w:tr>
      <w:t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2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Diagnostic reasoning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Reliable attribution within the adopted seven-code taxonomy — separating a skill or knowledge cause from a process, capacity, system, leadership, or client-driven cause. The heart of root-cause attribution.</w:t>
            </w:r>
          </w:p>
        </w:tc>
      </w:tr>
      <w:t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3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Accountability routing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Correctly assigning a finding to the Adjuster, Client, or Sedgwick lane, with the evidence to defend a routing the receiving lane may resist.</w:t>
            </w:r>
          </w:p>
        </w:tc>
      </w:tr>
      <w:t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4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Quantitative literacy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Sampling logic, inter-rater reliability, and disciplined ROI estimation with stated assumptions and confidence.</w:t>
            </w:r>
          </w:p>
        </w:tc>
      </w:tr>
      <w:t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5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Governance &amp; defensibility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Sign-off discipline, labour/legal sensitivity, independence, and the eight-point documentation checklist a finding must satisfy before it can inform a performance action.</w:t>
            </w:r>
          </w:p>
        </w:tc>
      </w:tr>
      <w:t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6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Toolcraft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Fluent operation of the Acuity instruments: the Audit Tool, the Program Audit Aggregator, and the Program Governance Register.</w:t>
            </w:r>
          </w:p>
        </w:tc>
      </w:tr>
      <w:tr>
        <w:tc>
          <w:tcPr>
            <w:tcW w:type="dxa" w:w="56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7</w:t>
            </w:r>
          </w:p>
        </w:tc>
        <w:tc>
          <w:tcPr>
            <w:tcW w:type="dxa" w:w="28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sz w:val="20"/>
                <w:szCs w:val="20"/>
              </w:rPr>
              <w:t xml:space="preserve">Stakeholder authority</w:t>
            </w:r>
          </w:p>
        </w:tc>
        <w:tc>
          <w:tcPr>
            <w:tcW w:type="dxa" w:w="624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Writing the analyst voice and presenting findings to client executives and leadership with composure and credibility.</w:t>
            </w:r>
          </w:p>
        </w:tc>
      </w:tr>
    </w:tbl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5.  Assessment Methods</w:t>
      </w:r>
    </w:p>
    <w:p>
      <w:pPr>
        <w:spacing w:after="120" w:before="0" w:line="276"/>
      </w:pPr>
      <w:r>
        <w:rPr>
          <w:sz w:val="22"/>
          <w:szCs w:val="22"/>
        </w:rPr>
        <w:t xml:space="preserve">Competence is demonstrated through five complementary instruments. No single test certifies a practitioner; the combination does.</w:t>
      </w:r>
    </w:p>
    <w:p>
      <w:pPr>
        <w:pStyle w:val="ListParagraph"/>
        <w:numPr>
          <w:ilvl w:val="0"/>
          <w:numId w:val="3"/>
        </w:numPr>
        <w:spacing w:after="70" w:line="270"/>
      </w:pPr>
      <w:r>
        <w:rPr>
          <w:b/>
          <w:bCs/>
          <w:sz w:val="22"/>
          <w:szCs w:val="22"/>
        </w:rPr>
        <w:t xml:space="preserve">Written examination. </w:t>
      </w:r>
      <w:r>
        <w:rPr>
          <w:sz w:val="22"/>
          <w:szCs w:val="22"/>
        </w:rPr>
        <w:t xml:space="preserve">Methodology, taxonomy, jurisdictional WC knowledge, and governance rules. Establishes the knowledge floor.</w:t>
      </w:r>
    </w:p>
    <w:p>
      <w:pPr>
        <w:pStyle w:val="ListParagraph"/>
        <w:numPr>
          <w:ilvl w:val="0"/>
          <w:numId w:val="3"/>
        </w:numPr>
        <w:spacing w:after="70" w:line="270"/>
      </w:pPr>
      <w:r>
        <w:rPr>
          <w:b/>
          <w:bCs/>
          <w:sz w:val="22"/>
          <w:szCs w:val="22"/>
        </w:rPr>
        <w:t xml:space="preserve">Calibration test. </w:t>
      </w:r>
      <w:r>
        <w:rPr>
          <w:sz w:val="22"/>
          <w:szCs w:val="22"/>
        </w:rPr>
        <w:t xml:space="preserve">The candidate codes a controlled set of files against a master key held by an L3, measured against the program’s 80% inter-rater agreement standard — the single most important gate, because it proves consistency. In live operation, 10% of audits are double-scored every cycle to monitor it.</w:t>
      </w:r>
    </w:p>
    <w:p>
      <w:pPr>
        <w:pStyle w:val="ListParagraph"/>
        <w:numPr>
          <w:ilvl w:val="0"/>
          <w:numId w:val="3"/>
        </w:numPr>
        <w:spacing w:after="70" w:line="270"/>
      </w:pPr>
      <w:r>
        <w:rPr>
          <w:b/>
          <w:bCs/>
          <w:sz w:val="22"/>
          <w:szCs w:val="22"/>
        </w:rPr>
        <w:t xml:space="preserve">Supervised audit portfolio. </w:t>
      </w:r>
      <w:r>
        <w:rPr>
          <w:sz w:val="22"/>
          <w:szCs w:val="22"/>
        </w:rPr>
        <w:t xml:space="preserve">A required number of real audits completed under L2+ review, demonstrating diagnosis, routing, and narrative in live conditions.</w:t>
      </w:r>
    </w:p>
    <w:p>
      <w:pPr>
        <w:pStyle w:val="ListParagraph"/>
        <w:numPr>
          <w:ilvl w:val="0"/>
          <w:numId w:val="3"/>
        </w:numPr>
        <w:spacing w:after="70" w:line="270"/>
      </w:pPr>
      <w:r>
        <w:rPr>
          <w:b/>
          <w:bCs/>
          <w:sz w:val="22"/>
          <w:szCs w:val="22"/>
        </w:rPr>
        <w:t xml:space="preserve">Governance simulation. </w:t>
      </w:r>
      <w:r>
        <w:rPr>
          <w:sz w:val="22"/>
          <w:szCs w:val="22"/>
        </w:rPr>
        <w:t xml:space="preserve">A mock cycle close: route a contested finding, defend it, and carry it through accept/defer/decline with sign-off.</w:t>
      </w:r>
    </w:p>
    <w:p>
      <w:pPr>
        <w:pStyle w:val="ListParagraph"/>
        <w:numPr>
          <w:ilvl w:val="0"/>
          <w:numId w:val="3"/>
        </w:numPr>
        <w:spacing w:after="70" w:line="270"/>
      </w:pPr>
      <w:r>
        <w:rPr>
          <w:b/>
          <w:bCs/>
          <w:sz w:val="22"/>
          <w:szCs w:val="22"/>
        </w:rPr>
        <w:t xml:space="preserve">Oral defence. </w:t>
      </w:r>
      <w:r>
        <w:rPr>
          <w:sz w:val="22"/>
          <w:szCs w:val="22"/>
        </w:rPr>
        <w:t xml:space="preserve">The candidate defends a sample of their findings before a certification panel, including at least one routing to the client or leadership lane.</w:t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6.  Certification Pathway</w:t>
      </w:r>
    </w:p>
    <w:p>
      <w:pPr>
        <w:spacing w:after="120" w:before="0" w:line="276"/>
      </w:pPr>
      <w:r>
        <w:rPr>
          <w:sz w:val="22"/>
          <w:szCs w:val="22"/>
        </w:rPr>
        <w:t xml:space="preserve">The end-to-end route from application to entry on the register.</w:t>
      </w:r>
    </w:p>
    <w:tbl>
      <w:tblPr>
        <w:tblW w:type="dxa" w:w="9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0"/>
        <w:gridCol w:w="4400"/>
        <w:gridCol w:w="4620"/>
      </w:tblGrid>
      <w:tr>
        <w:trPr>
          <w:tblHeader/>
        </w:trP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Stage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1F3864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Outcome</w:t>
            </w:r>
          </w:p>
        </w:tc>
      </w:tr>
      <w:t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1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Application &amp; eligibility screen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Confirms prerequisite experience and designations</w:t>
            </w:r>
          </w:p>
        </w:tc>
      </w:tr>
      <w:t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2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Structured training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Methodology, taxonomy, tools, governance</w:t>
            </w:r>
          </w:p>
        </w:tc>
      </w:tr>
      <w:t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3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Written + calibration assessment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Knowledge floor and consistency gate passed</w:t>
            </w:r>
          </w:p>
        </w:tc>
      </w:tr>
      <w:t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4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Supervised portfolio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Live competence evidenced under review</w:t>
            </w:r>
          </w:p>
        </w:tc>
      </w:tr>
      <w:t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5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Panel: simulation + oral defence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Independent judgment confirmed</w:t>
            </w:r>
          </w:p>
        </w:tc>
      </w:tr>
      <w:t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6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Provisional certification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shd w:fill="F6F8FB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Practice permitted with periodic review</w:t>
            </w:r>
          </w:p>
        </w:tc>
      </w:tr>
      <w:tr>
        <w:tc>
          <w:tcPr>
            <w:tcW w:type="dxa" w:w="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7</w:t>
            </w:r>
          </w:p>
        </w:tc>
        <w:tc>
          <w:tcPr>
            <w:tcW w:type="dxa" w:w="440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Full certification &amp; registry entry</w:t>
            </w:r>
          </w:p>
        </w:tc>
        <w:tc>
          <w:tcPr>
            <w:tcW w:type="dxa" w:w="4620"/>
            <w:tcBorders>
              <w:top w:val="single" w:color="C9D2E0" w:sz="4"/>
              <w:left w:val="single" w:color="C9D2E0" w:sz="4"/>
              <w:bottom w:val="single" w:color="C9D2E0" w:sz="4"/>
              <w:right w:val="single" w:color="C9D2E0" w:sz="4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spacing w:after="0" w:line="260"/>
            </w:pPr>
            <w:r>
              <w:rPr>
                <w:sz w:val="20"/>
                <w:szCs w:val="20"/>
              </w:rPr>
              <w:t xml:space="preserve">Listed on the Acuity Practitioner Register</w:t>
            </w:r>
          </w:p>
        </w:tc>
      </w:tr>
    </w:tbl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7.  Maintenance, Recertification &amp; Revocation</w:t>
      </w:r>
    </w:p>
    <w:p>
      <w:pPr>
        <w:spacing w:after="120" w:before="0" w:line="276"/>
      </w:pPr>
      <w:r>
        <w:rPr>
          <w:sz w:val="22"/>
          <w:szCs w:val="22"/>
        </w:rPr>
        <w:t xml:space="preserve">Certification is a living status, not a one-time award. It is maintained, periodically retested, and can be suspended or revoked.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b/>
          <w:bCs/>
          <w:sz w:val="22"/>
          <w:szCs w:val="22"/>
        </w:rPr>
        <w:t xml:space="preserve">Continuing development. </w:t>
      </w:r>
      <w:r>
        <w:rPr>
          <w:sz w:val="22"/>
          <w:szCs w:val="22"/>
        </w:rPr>
        <w:t xml:space="preserve">A defined number of professional-development hours per cycle, including legislative updates across jurisdictions.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b/>
          <w:bCs/>
          <w:sz w:val="22"/>
          <w:szCs w:val="22"/>
        </w:rPr>
        <w:t xml:space="preserve">Periodic recalibration. </w:t>
      </w:r>
      <w:r>
        <w:rPr>
          <w:sz w:val="22"/>
          <w:szCs w:val="22"/>
        </w:rPr>
        <w:t xml:space="preserve">Every certified practitioner re-sits the calibration test each quarter. At the program level, 10% of audits are double-scored and a cycle below the 80% target is recorded as “target not met” rather than auto-remediated; a persistent personal shortfall against the 80% standard prompts supervised recalibration.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b/>
          <w:bCs/>
          <w:sz w:val="22"/>
          <w:szCs w:val="22"/>
        </w:rPr>
        <w:t xml:space="preserve">Recertification cycle. </w:t>
      </w:r>
      <w:r>
        <w:rPr>
          <w:sz w:val="22"/>
          <w:szCs w:val="22"/>
        </w:rPr>
        <w:t xml:space="preserve">Full re-confirmation of status on a fixed interval.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b/>
          <w:bCs/>
          <w:sz w:val="22"/>
          <w:szCs w:val="22"/>
        </w:rPr>
        <w:t xml:space="preserve">Suspension / revocation triggers. </w:t>
      </w:r>
      <w:r>
        <w:rPr>
          <w:sz w:val="22"/>
          <w:szCs w:val="22"/>
        </w:rPr>
        <w:t xml:space="preserve">Repeated calibration failure, a documented defensibility breach, or a loss of independence. Process must include notice and appeal.</w:t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8.  Program-Integrity Certification (Track B)</w:t>
      </w:r>
    </w:p>
    <w:p>
      <w:pPr>
        <w:spacing w:after="120" w:before="0" w:line="276"/>
      </w:pPr>
      <w:r>
        <w:rPr>
          <w:sz w:val="22"/>
          <w:szCs w:val="22"/>
        </w:rPr>
        <w:t xml:space="preserve">Each cycle, an L3 Lead Examiner certifies that the program itself was operated to standard. This is the annual attestation behind the tamper-evident record. It confirms: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Independence of the analyst-auditor function from the operations it audited was maintained.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Required calibration was performed — 10% of audits double-scored — and the 80% agreement target was met, or its shortfall recorded.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The three-party sign-off chain is complete and the cycle record is locked and tamper-evident.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The cycle-open gate was honoured — prior-cycle commitments were verified before the cycle closed.</w:t>
      </w:r>
    </w:p>
    <w:p>
      <w:pPr>
        <w:spacing w:after="120" w:before="0" w:line="276"/>
      </w:pPr>
      <w:r>
        <w:rPr>
          <w:i/>
          <w:iCs/>
          <w:color w:val="5C6373"/>
          <w:sz w:val="22"/>
          <w:szCs w:val="22"/>
        </w:rPr>
        <w:t xml:space="preserve">Program-Integrity Certification is what lets the program tell a client, in writing, that its governance backbone is not merely present but audited.</w:t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9.  Governance of the Certification Itself</w:t>
      </w:r>
    </w:p>
    <w:p>
      <w:pPr>
        <w:spacing w:after="120" w:before="0" w:line="276"/>
      </w:pPr>
      <w:r>
        <w:rPr>
          <w:sz w:val="22"/>
          <w:szCs w:val="22"/>
        </w:rPr>
        <w:t xml:space="preserve">The certification cannot be self-awarded by the people it certifies without a controlling body and an appeal route. The following must be defined and stand independent of day-to-day account operations: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A certification authority / panel that owns the standard, the master key, and the register.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A conflict-of-interest rule preventing a practitioner from certifying their own direct reports or their own account in isolation.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An appeals process for adverse certification and revocation decisions.</w:t>
      </w:r>
    </w:p>
    <w:p>
      <w:pPr>
        <w:pStyle w:val="ListParagraph"/>
        <w:numPr>
          <w:ilvl w:val="0"/>
          <w:numId w:val="2"/>
        </w:numPr>
        <w:spacing w:after="70" w:line="270"/>
      </w:pPr>
      <w:r>
        <w:rPr>
          <w:sz w:val="22"/>
          <w:szCs w:val="22"/>
        </w:rPr>
        <w:t xml:space="preserve">A public-within-the-organization register of who holds which level, current as of each cycle.</w:t>
      </w:r>
    </w:p>
    <w:p>
      <w:pPr>
        <w:pStyle w:val="Heading1"/>
        <w:pBdr>
          <w:bottom w:val="single" w:color="17A589" w:sz="14" w:space="6"/>
        </w:pBdr>
        <w:spacing w:after="140" w:before="340"/>
      </w:pPr>
      <w:r>
        <w:rPr>
          <w:rFonts w:ascii="Arial" w:cs="Arial" w:eastAsia="Arial" w:hAnsi="Arial"/>
          <w:b/>
          <w:bCs/>
          <w:color w:val="1F3864"/>
          <w:sz w:val="30"/>
          <w:szCs w:val="30"/>
        </w:rPr>
        <w:t xml:space="preserve">10.  Operating Standards &amp; Open Items</w:t>
      </w:r>
    </w:p>
    <w:p>
      <w:pPr>
        <w:spacing w:after="120" w:before="0" w:line="276"/>
      </w:pPr>
      <w:r>
        <w:rPr>
          <w:sz w:val="22"/>
          <w:szCs w:val="22"/>
        </w:rPr>
        <w:t xml:space="preserve">Several values that were open at first draft have since been set in the program’s methodology standards. They are recorded here so the certification aligns with the live program; a few organizational variables remain for leadership.</w:t>
      </w:r>
    </w:p>
    <w:tbl>
      <w:tblPr>
        <w:tblW w:type="dxa" w:w="9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40"/>
      </w:tblGrid>
      <w:tr>
        <w:tc>
          <w:tcPr>
            <w:tcW w:type="dxa" w:w="9640"/>
            <w:tcBorders>
              <w:top w:val="single" w:color="3FB99E" w:sz="4"/>
              <w:left w:val="single" w:color="3FB99E" w:sz="18"/>
              <w:bottom w:val="single" w:color="3FB99E" w:sz="4"/>
              <w:right w:val="single" w:color="3FB99E" w:sz="4"/>
            </w:tcBorders>
            <w:shd w:fill="E7F4F0" w:val="clear"/>
            <w:tcMar>
              <w:top w:type="dxa" w:w="120"/>
              <w:left w:type="dxa" w:w="200"/>
              <w:bottom w:type="dxa" w:w="120"/>
              <w:right w:type="dxa" w:w="160"/>
            </w:tcMar>
          </w:tcPr>
          <w:p>
            <w:pPr>
              <w:spacing w:after="60"/>
            </w:pPr>
            <w:r>
              <w:rPr>
                <w:b/>
                <w:bCs/>
                <w:color w:val="17A589"/>
                <w:spacing w:val="12"/>
                <w:sz w:val="19"/>
                <w:szCs w:val="19"/>
              </w:rPr>
              <w:t xml:space="preserve">STANDARDS NOW SET — recorded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333333"/>
                <w:sz w:val="21"/>
                <w:szCs w:val="21"/>
              </w:rPr>
              <w:t xml:space="preserve">Calibration: 80% inter-rater agreement is the program standard, with 10% of audits double-scored every cycle. A cycle below target is recorded as “target not met”; a persistent personal shortfall prompts supervised recalibration.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333333"/>
                <w:sz w:val="21"/>
                <w:szCs w:val="21"/>
              </w:rPr>
              <w:t xml:space="preserve">Root-cause attribution uses the adopted seven-code taxonomy (skill, knowledge, process, capacity, system, leadership, client-driven).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333333"/>
                <w:sz w:val="21"/>
                <w:szCs w:val="21"/>
              </w:rPr>
              <w:t xml:space="preserve">Cycle cadence is quarterly, with loop closures for outstanding commitments.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333333"/>
                <w:sz w:val="21"/>
                <w:szCs w:val="21"/>
              </w:rPr>
              <w:t xml:space="preserve">The L3 Lead Examiner adjudicates disputed code assignments and holds the deciding sign-off.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333333"/>
                <w:sz w:val="21"/>
                <w:szCs w:val="21"/>
              </w:rPr>
              <w:t xml:space="preserve">A finding must meet the eight-point documentation checklist before it can inform a performance action.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333333"/>
                <w:sz w:val="21"/>
                <w:szCs w:val="21"/>
              </w:rPr>
              <w:t xml:space="preserve">The certification authority and the analyst function report to the Audit / Governance Committee, independent of account operations.</w:t>
            </w:r>
          </w:p>
        </w:tc>
      </w:tr>
    </w:tbl>
    <w:p>
      <w:pPr>
        <w:spacing w:after="120" w:before="140" w:line="276"/>
      </w:pPr>
      <w:r>
        <w:rPr>
          <w:b/>
          <w:bCs/>
          <w:color w:val="1F3864"/>
          <w:sz w:val="22"/>
          <w:szCs w:val="22"/>
        </w:rPr>
        <w:t xml:space="preserve">Still to confirm:</w:t>
      </w:r>
    </w:p>
    <w:tbl>
      <w:tblPr>
        <w:tblW w:type="dxa" w:w="9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40"/>
      </w:tblGrid>
      <w:tr>
        <w:tc>
          <w:tcPr>
            <w:tcW w:type="dxa" w:w="9640"/>
            <w:tcBorders>
              <w:top w:val="single" w:color="E6C200" w:sz="4"/>
              <w:left w:val="single" w:color="E6C200" w:sz="18"/>
              <w:bottom w:val="single" w:color="E6C200" w:sz="4"/>
              <w:right w:val="single" w:color="E6C200" w:sz="4"/>
            </w:tcBorders>
            <w:shd w:fill="FAEEDA" w:val="clear"/>
            <w:tcMar>
              <w:top w:type="dxa" w:w="120"/>
              <w:left w:type="dxa" w:w="200"/>
              <w:bottom w:type="dxa" w:w="120"/>
              <w:right w:type="dxa" w:w="160"/>
            </w:tcMar>
          </w:tcPr>
          <w:p>
            <w:pPr>
              <w:spacing w:after="60"/>
            </w:pPr>
            <w:r>
              <w:rPr>
                <w:b/>
                <w:bCs/>
                <w:color w:val="6B4E08"/>
                <w:spacing w:val="12"/>
                <w:sz w:val="19"/>
                <w:szCs w:val="19"/>
              </w:rPr>
              <w:t xml:space="preserve">DECISIONS REQUIRED — yours to set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6B4E08"/>
                <w:sz w:val="21"/>
                <w:szCs w:val="21"/>
              </w:rPr>
              <w:t xml:space="preserve">Supervised-portfolio volume required for L1 and for L2 (number of audits).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6B4E08"/>
                <w:sz w:val="21"/>
                <w:szCs w:val="21"/>
              </w:rPr>
              <w:t xml:space="preserve">Recertification interval and continuing-development hours per cycle.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6B4E08"/>
                <w:sz w:val="21"/>
                <w:szCs w:val="21"/>
              </w:rPr>
              <w:t xml:space="preserve">Composition of the certification panel, and who holds L3 Lead Examiner authority at launch.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6B4E08"/>
                <w:sz w:val="21"/>
                <w:szCs w:val="21"/>
              </w:rPr>
              <w:t xml:space="preserve">Peer / external review cadence for completed audits (to be set with the client).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40" w:line="260"/>
            </w:pPr>
            <w:r>
              <w:rPr>
                <w:color w:val="6B4E08"/>
                <w:sz w:val="21"/>
                <w:szCs w:val="21"/>
              </w:rPr>
              <w:t xml:space="preserve">Whether certification is internal to Sedgwick, co-branded with the client, or positioned for external recognition.</w:t>
            </w:r>
          </w:p>
        </w:tc>
      </w:tr>
    </w:tbl>
    <w:sectPr>
      <w:footerReference w:type="default" r:id="rId7"/>
      <w:pgSz w:w="12240" w:h="15840" w:orient="portrait"/>
      <w:pgMar w:top="1300" w:right="1300" w:bottom="1300" w:left="13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9D2E0" w:sz="4" w:space="6"/>
      </w:pBdr>
      <w:tabs>
        <w:tab w:val="right" w:pos="9640"/>
      </w:tabs>
    </w:pPr>
    <w:r>
      <w:rPr>
        <w:color w:val="5C6373"/>
        <w:sz w:val="16"/>
        <w:szCs w:val="16"/>
      </w:rPr>
      <w:t xml:space="preserve">Acuity Certification Process  ·  Confidential — Draft for review</w:t>
    </w:r>
    <w:r>
      <w:rPr>
        <w:color w:val="5C6373"/>
        <w:sz w:val="16"/>
        <w:szCs w:val="16"/>
      </w:rPr>
      <w:t xml:space="preserve">	Page </w:t>
    </w:r>
    <w:r>
      <w:rPr>
        <w:color w:val="5C6373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color w:val="5C6373"/>
        <w:sz w:val="16"/>
        <w:szCs w:val="16"/>
      </w:rPr>
      <w:t xml:space="preserve"> of </w:t>
    </w:r>
    <w:r>
      <w:rPr>
        <w:color w:val="5C6373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60" w:hanging="240"/>
      </w:pPr>
    </w:lvl>
    <w:lvl w:ilvl="1" w15:tentative="1">
      <w:start w:val="1"/>
      <w:numFmt w:val="bullet"/>
      <w:lvlText w:val="–"/>
      <w:lvlJc w:val="left"/>
      <w:pPr>
        <w:ind w:left="920" w:hanging="24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460" w:hanging="26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8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22222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40" w:before="340"/>
      <w:outlineLvl w:val="0"/>
    </w:pPr>
    <w:rPr>
      <w:rFonts w:ascii="Arial" w:cs="Arial" w:eastAsia="Arial" w:hAnsi="Arial"/>
      <w:b/>
      <w:bCs/>
      <w:color w:val="1F3864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90" w:before="240"/>
      <w:outlineLvl w:val="1"/>
    </w:pPr>
    <w:rPr>
      <w:rFonts w:ascii="Arial" w:cs="Arial" w:eastAsia="Arial" w:hAnsi="Arial"/>
      <w:b/>
      <w:bCs/>
      <w:color w:val="1F3864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Acuity Certification Process</dc:title>
  <dc:creator>Acuity — Sedgwick Canada</dc:creator>
  <cp:lastModifiedBy>Un-named</cp:lastModifiedBy>
  <cp:revision>1</cp:revision>
  <dcterms:created xsi:type="dcterms:W3CDTF">2026-05-26T13:17:36.108Z</dcterms:created>
  <dcterms:modified xsi:type="dcterms:W3CDTF">2026-05-26T13:17:36.120Z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