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60"/>
      </w:pPr>
      <w:r>
        <w:t xml:space="preserve"/>
      </w:r>
    </w:p>
    <w:p>
      <w:pPr>
        <w:spacing w:after="60"/>
      </w:pPr>
      <w:r>
        <w:rPr>
          <w:b/>
          <w:bCs/>
          <w:caps/>
          <w:color w:val="17A589"/>
          <w:spacing w:val="40"/>
          <w:sz w:val="19"/>
          <w:szCs w:val="19"/>
        </w:rPr>
        <w:t xml:space="preserve">Role Description</w:t>
      </w:r>
    </w:p>
    <w:p>
      <w:pPr>
        <w:pBdr>
          <w:bottom w:val="single" w:color="1F3864" w:sz="20" w:space="10"/>
        </w:pBdr>
        <w:spacing w:after="40"/>
      </w:pPr>
      <w:r>
        <w:rPr>
          <w:rFonts w:ascii="Arial" w:cs="Arial" w:eastAsia="Arial" w:hAnsi="Arial"/>
          <w:b/>
          <w:bCs/>
          <w:color w:val="1F3864"/>
          <w:sz w:val="54"/>
          <w:szCs w:val="54"/>
        </w:rPr>
        <w:t xml:space="preserve">Acuity Analyst</w:t>
      </w:r>
    </w:p>
    <w:p>
      <w:pPr>
        <w:spacing w:after="0" w:before="160"/>
      </w:pPr>
      <w:r>
        <w:rPr>
          <w:i/>
          <w:iCs/>
          <w:color w:val="5C6373"/>
          <w:sz w:val="26"/>
          <w:szCs w:val="26"/>
        </w:rPr>
        <w:t xml:space="preserve">Claims Performance Intelligence — a senior diagnostic and governance authority, deliberately positioned above the operations it audits.</w:t>
      </w:r>
    </w:p>
    <w:p>
      <w:pPr>
        <w:spacing w:after="360"/>
      </w:pPr>
      <w:r>
        <w:t xml:space="preserve"/>
      </w:r>
    </w:p>
    <w:p>
      <w:pPr>
        <w:spacing w:after="60"/>
      </w:pPr>
      <w:r>
        <w:rPr>
          <w:b/>
          <w:bCs/>
          <w:caps/>
          <w:color w:val="1F3864"/>
          <w:spacing w:val="10"/>
          <w:sz w:val="20"/>
          <w:szCs w:val="20"/>
        </w:rPr>
        <w:t xml:space="preserve">Functional title  </w:t>
      </w:r>
      <w:r>
        <w:rPr>
          <w:color w:val="5C6373"/>
          <w:sz w:val="22"/>
          <w:szCs w:val="22"/>
        </w:rPr>
        <w:t xml:space="preserve">Acuity Analyst (Certified, Level 2+)</w:t>
      </w:r>
    </w:p>
    <w:p>
      <w:pPr>
        <w:spacing w:after="60"/>
      </w:pPr>
      <w:r>
        <w:rPr>
          <w:b/>
          <w:bCs/>
          <w:caps/>
          <w:color w:val="1F3864"/>
          <w:spacing w:val="10"/>
          <w:sz w:val="20"/>
          <w:szCs w:val="20"/>
        </w:rPr>
        <w:t xml:space="preserve">Band  </w:t>
      </w:r>
      <w:r>
        <w:rPr>
          <w:color w:val="5C6373"/>
          <w:sz w:val="22"/>
          <w:szCs w:val="22"/>
        </w:rPr>
        <w:t xml:space="preserve">Principal / Director level — see §3</w:t>
      </w:r>
    </w:p>
    <w:p>
      <w:pPr>
        <w:spacing w:after="60"/>
      </w:pPr>
      <w:r>
        <w:rPr>
          <w:b/>
          <w:bCs/>
          <w:caps/>
          <w:color w:val="1F3864"/>
          <w:spacing w:val="10"/>
          <w:sz w:val="20"/>
          <w:szCs w:val="20"/>
        </w:rPr>
        <w:t xml:space="preserve">Reports to  </w:t>
      </w:r>
      <w:r>
        <w:rPr>
          <w:color w:val="5C6373"/>
          <w:sz w:val="22"/>
          <w:szCs w:val="22"/>
        </w:rPr>
        <w:t xml:space="preserve">Audit / Governance Committee — independent of audited operations</w:t>
      </w:r>
    </w:p>
    <w:p>
      <w:pPr>
        <w:spacing w:after="60"/>
      </w:pPr>
      <w:r>
        <w:rPr>
          <w:b/>
          <w:bCs/>
          <w:caps/>
          <w:color w:val="1F3864"/>
          <w:spacing w:val="10"/>
          <w:sz w:val="20"/>
          <w:szCs w:val="20"/>
        </w:rPr>
        <w:t xml:space="preserve">Version  </w:t>
      </w:r>
      <w:r>
        <w:rPr>
          <w:color w:val="5C6373"/>
          <w:sz w:val="22"/>
          <w:szCs w:val="22"/>
        </w:rPr>
        <w:t xml:space="preserve">v1.1 — aligned to recorded standards</w:t>
      </w:r>
    </w:p>
    <w:p>
      <w:pPr>
        <w:spacing w:after="260"/>
      </w:pPr>
      <w:r>
        <w:t xml:space="preserve"/>
      </w:r>
    </w:p>
    <w:p>
      <w:pPr>
        <w:pBdr>
          <w:top w:val="single" w:color="C9D2E0" w:sz="6" w:space="6"/>
        </w:pBdr>
        <w:spacing w:after="0" w:before="40"/>
      </w:pPr>
      <w:r>
        <w:rPr>
          <w:caps/>
          <w:color w:val="5C6373"/>
          <w:spacing w:val="14"/>
          <w:sz w:val="18"/>
          <w:szCs w:val="18"/>
        </w:rPr>
        <w:t xml:space="preserve">Acuity — Claims Performance Intelligence  ·  Sedgwick Canada</w:t>
      </w:r>
    </w:p>
    <w:p>
      <w:pPr>
        <w:spacing w:before="0"/>
      </w:pPr>
      <w:r>
        <w:br w:type="page"/>
      </w:r>
    </w:p>
    <w:p>
      <w:pPr>
        <w:pStyle w:val="Heading1"/>
        <w:pBdr>
          <w:bottom w:val="single" w:color="17A589" w:sz="14" w:space="6"/>
        </w:pBdr>
        <w:spacing w:after="140" w:before="340"/>
      </w:pPr>
      <w:r>
        <w:rPr>
          <w:rFonts w:ascii="Arial" w:cs="Arial" w:eastAsia="Arial" w:hAnsi="Arial"/>
          <w:b/>
          <w:bCs/>
          <w:color w:val="1F3864"/>
          <w:sz w:val="30"/>
          <w:szCs w:val="30"/>
        </w:rPr>
        <w:t xml:space="preserve">1.  Role Purpose</w:t>
      </w:r>
    </w:p>
    <w:p>
      <w:pPr>
        <w:spacing w:after="120" w:before="0" w:line="276"/>
      </w:pPr>
      <w:r>
        <w:rPr>
          <w:sz w:val="22"/>
          <w:szCs w:val="22"/>
        </w:rPr>
        <w:t xml:space="preserve">The Acuity Analyst is the qualified authority who operates the Acuity system end to end: diagnosing the root cause of claims-performance findings, routing accountability to the party that owns it, governing the resulting decisions to a signed conclusion, and proving — cycle over cycle — that acting on those decisions moved the outcome.</w:t>
      </w:r>
    </w:p>
    <w:p>
      <w:pPr>
        <w:spacing w:after="120" w:before="0" w:line="276"/>
      </w:pPr>
      <w:r>
        <w:rPr>
          <w:sz w:val="22"/>
          <w:szCs w:val="22"/>
        </w:rPr>
        <w:t xml:space="preserve">This is not a quality-assurance reviewer and not a senior auditor with a longer checklist. It is a diagnostic-and-governance role whose output carries consequences for adjusters, for clients, and for Sedgwick itself. The distinction is the entire point of the role, and it is what dictates both the skill set and the seniority.</w:t>
      </w:r>
    </w:p>
    <w:p>
      <w:pPr>
        <w:spacing w:after="120" w:before="0" w:line="276"/>
      </w:pPr>
      <w:r>
        <w:rPr>
          <w:sz w:val="22"/>
          <w:szCs w:val="22"/>
        </w:rPr>
        <w:t xml:space="preserve">It is also where human judgment meets AI. The Analyst is not in competition with automation and is not replaced by it: AI clears the mechanical work of mining data, and the Analyst is freed to do what no model can on its own — determine the source of a performance outcome, assign accountability, and design the strategy that corrects it.</w:t>
      </w:r>
    </w:p>
    <w:p>
      <w:pPr>
        <w:pStyle w:val="Heading1"/>
        <w:pBdr>
          <w:bottom w:val="single" w:color="17A589" w:sz="14" w:space="6"/>
        </w:pBdr>
        <w:spacing w:after="140" w:before="340"/>
      </w:pPr>
      <w:r>
        <w:rPr>
          <w:rFonts w:ascii="Arial" w:cs="Arial" w:eastAsia="Arial" w:hAnsi="Arial"/>
          <w:b/>
          <w:bCs/>
          <w:color w:val="1F3864"/>
          <w:sz w:val="30"/>
          <w:szCs w:val="30"/>
        </w:rPr>
        <w:t xml:space="preserve">2.  Why the Role Sits High</w:t>
      </w:r>
    </w:p>
    <w:p>
      <w:pPr>
        <w:spacing w:after="120" w:before="0" w:line="276"/>
      </w:pPr>
      <w:r>
        <w:rPr>
          <w:sz w:val="22"/>
          <w:szCs w:val="22"/>
        </w:rPr>
        <w:t xml:space="preserve">The Acuity Analyst must be positioned in the senior echelon — not as a reward, but because the function cannot work anywhere else. Four structural reasons:</w:t>
      </w:r>
    </w:p>
    <w:p>
      <w:pPr>
        <w:pStyle w:val="ListParagraph"/>
        <w:numPr>
          <w:ilvl w:val="0"/>
          <w:numId w:val="2"/>
        </w:numPr>
        <w:spacing w:after="70" w:line="270"/>
      </w:pPr>
      <w:r>
        <w:rPr>
          <w:b/>
          <w:bCs/>
          <w:sz w:val="22"/>
          <w:szCs w:val="22"/>
        </w:rPr>
        <w:t xml:space="preserve">It routes accountability upward and outward. </w:t>
      </w:r>
      <w:r>
        <w:rPr>
          <w:sz w:val="22"/>
          <w:szCs w:val="22"/>
        </w:rPr>
        <w:t xml:space="preserve">The role assigns findings to the client lane and to the Sedgwick leadership lane. A junior position cannot credibly hold a client executive or its own leadership to a commitment.</w:t>
      </w:r>
    </w:p>
    <w:p>
      <w:pPr>
        <w:pStyle w:val="ListParagraph"/>
        <w:numPr>
          <w:ilvl w:val="0"/>
          <w:numId w:val="2"/>
        </w:numPr>
        <w:spacing w:after="70" w:line="270"/>
      </w:pPr>
      <w:r>
        <w:rPr>
          <w:b/>
          <w:bCs/>
          <w:sz w:val="22"/>
          <w:szCs w:val="22"/>
        </w:rPr>
        <w:t xml:space="preserve">It requires independence. </w:t>
      </w:r>
      <w:r>
        <w:rPr>
          <w:sz w:val="22"/>
          <w:szCs w:val="22"/>
        </w:rPr>
        <w:t xml:space="preserve">To audit an operation defensibly, the function cannot report into that operation. Independence is only real when the role sits beside, not beneath, the operations it examines.</w:t>
      </w:r>
    </w:p>
    <w:p>
      <w:pPr>
        <w:pStyle w:val="ListParagraph"/>
        <w:numPr>
          <w:ilvl w:val="0"/>
          <w:numId w:val="2"/>
        </w:numPr>
        <w:spacing w:after="70" w:line="270"/>
      </w:pPr>
      <w:r>
        <w:rPr>
          <w:b/>
          <w:bCs/>
          <w:sz w:val="22"/>
          <w:szCs w:val="22"/>
        </w:rPr>
        <w:t xml:space="preserve">It informs consequential processes. </w:t>
      </w:r>
      <w:r>
        <w:rPr>
          <w:sz w:val="22"/>
          <w:szCs w:val="22"/>
        </w:rPr>
        <w:t xml:space="preserve">Findings can feed performance and client-commitment processes. The authority to do that must come with commensurate rank and accountability.</w:t>
      </w:r>
    </w:p>
    <w:p>
      <w:pPr>
        <w:pStyle w:val="ListParagraph"/>
        <w:numPr>
          <w:ilvl w:val="0"/>
          <w:numId w:val="2"/>
        </w:numPr>
        <w:spacing w:after="70" w:line="270"/>
      </w:pPr>
      <w:r>
        <w:rPr>
          <w:b/>
          <w:bCs/>
          <w:sz w:val="22"/>
          <w:szCs w:val="22"/>
        </w:rPr>
        <w:t xml:space="preserve">It represents the program externally. </w:t>
      </w:r>
      <w:r>
        <w:rPr>
          <w:sz w:val="22"/>
          <w:szCs w:val="22"/>
        </w:rPr>
        <w:t xml:space="preserve">The Analyst presents the governance backbone to clients such as Amazon and FedEx, and is the face of the program’s credibility.</w:t>
      </w:r>
    </w:p>
    <w:p>
      <w:pPr>
        <w:spacing w:after="120" w:before="0" w:line="276"/>
      </w:pPr>
      <w:r>
        <w:rPr>
          <w:i/>
          <w:iCs/>
          <w:color w:val="5C6373"/>
          <w:sz w:val="22"/>
          <w:szCs w:val="22"/>
        </w:rPr>
        <w:t xml:space="preserve">The role is therefore positioned at the Principal / Director band, reporting to the Audit / Governance Committee, with organizational independence from the account operations it audits.</w:t>
      </w:r>
    </w:p>
    <w:p>
      <w:pPr>
        <w:pStyle w:val="Heading1"/>
        <w:pBdr>
          <w:bottom w:val="single" w:color="17A589" w:sz="14" w:space="6"/>
        </w:pBdr>
        <w:spacing w:after="140" w:before="340"/>
      </w:pPr>
      <w:r>
        <w:rPr>
          <w:rFonts w:ascii="Arial" w:cs="Arial" w:eastAsia="Arial" w:hAnsi="Arial"/>
          <w:b/>
          <w:bCs/>
          <w:color w:val="1F3864"/>
          <w:sz w:val="30"/>
          <w:szCs w:val="30"/>
        </w:rPr>
        <w:t xml:space="preserve">3.  Organizational Positioning</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2300"/>
        <w:gridCol w:w="7340"/>
      </w:tblGrid>
      <w:tr>
        <w:trPr>
          <w:tblHeader/>
        </w:trPr>
        <w:tc>
          <w:tcPr>
            <w:tcW w:type="dxa" w:w="2300"/>
            <w:tcBorders>
              <w:top w:val="single" w:color="C9D2E0" w:sz="4"/>
              <w:left w:val="single" w:color="C9D2E0" w:sz="4"/>
              <w:bottom w:val="single" w:color="C9D2E0" w:sz="4"/>
              <w:right w:val="single" w:color="C9D2E0" w:sz="4"/>
            </w:tcBorders>
            <w:shd w:fill="1F3864" w:val="clear"/>
            <w:tcMar>
              <w:top w:type="dxa" w:w="70"/>
              <w:left w:type="dxa" w:w="110"/>
              <w:bottom w:type="dxa" w:w="70"/>
              <w:right w:type="dxa" w:w="110"/>
            </w:tcMar>
            <w:vAlign w:val="center"/>
          </w:tcPr>
          <w:p>
            <w:pPr>
              <w:spacing w:after="0" w:line="260"/>
            </w:pPr>
            <w:r>
              <w:rPr>
                <w:b/>
                <w:bCs/>
                <w:color w:val="FFFFFF"/>
                <w:sz w:val="20"/>
                <w:szCs w:val="20"/>
              </w:rPr>
              <w:t xml:space="preserve">Dimension</w:t>
            </w:r>
          </w:p>
        </w:tc>
        <w:tc>
          <w:tcPr>
            <w:tcW w:type="dxa" w:w="7340"/>
            <w:tcBorders>
              <w:top w:val="single" w:color="C9D2E0" w:sz="4"/>
              <w:left w:val="single" w:color="C9D2E0" w:sz="4"/>
              <w:bottom w:val="single" w:color="C9D2E0" w:sz="4"/>
              <w:right w:val="single" w:color="C9D2E0" w:sz="4"/>
            </w:tcBorders>
            <w:shd w:fill="1F3864" w:val="clear"/>
            <w:tcMar>
              <w:top w:type="dxa" w:w="70"/>
              <w:left w:type="dxa" w:w="110"/>
              <w:bottom w:type="dxa" w:w="70"/>
              <w:right w:type="dxa" w:w="110"/>
            </w:tcMar>
            <w:vAlign w:val="center"/>
          </w:tcPr>
          <w:p>
            <w:pPr>
              <w:spacing w:after="0" w:line="260"/>
            </w:pPr>
            <w:r>
              <w:rPr>
                <w:b/>
                <w:bCs/>
                <w:color w:val="FFFFFF"/>
                <w:sz w:val="20"/>
                <w:szCs w:val="20"/>
              </w:rPr>
              <w:t xml:space="preserve">Position</w:t>
            </w:r>
          </w:p>
        </w:tc>
      </w:tr>
      <w:tr>
        <w:tc>
          <w:tcPr>
            <w:tcW w:type="dxa" w:w="230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b/>
                <w:bCs/>
                <w:sz w:val="20"/>
                <w:szCs w:val="20"/>
              </w:rPr>
              <w:t xml:space="preserve">Band</w:t>
            </w:r>
          </w:p>
        </w:tc>
        <w:tc>
          <w:tcPr>
            <w:tcW w:type="dxa" w:w="734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sz w:val="20"/>
                <w:szCs w:val="20"/>
              </w:rPr>
              <w:t xml:space="preserve">Principal / Director level</w:t>
            </w:r>
          </w:p>
        </w:tc>
      </w:tr>
      <w:tr>
        <w:tc>
          <w:tcPr>
            <w:tcW w:type="dxa" w:w="230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b/>
                <w:bCs/>
                <w:sz w:val="20"/>
                <w:szCs w:val="20"/>
              </w:rPr>
              <w:t xml:space="preserve">Reports to</w:t>
            </w:r>
          </w:p>
        </w:tc>
        <w:tc>
          <w:tcPr>
            <w:tcW w:type="dxa" w:w="734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sz w:val="20"/>
                <w:szCs w:val="20"/>
              </w:rPr>
              <w:t xml:space="preserve">The Audit / Governance Committee — structurally independent of the audited operations</w:t>
            </w:r>
          </w:p>
        </w:tc>
      </w:tr>
      <w:tr>
        <w:tc>
          <w:tcPr>
            <w:tcW w:type="dxa" w:w="230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b/>
                <w:bCs/>
                <w:sz w:val="20"/>
                <w:szCs w:val="20"/>
              </w:rPr>
              <w:t xml:space="preserve">Independence</w:t>
            </w:r>
          </w:p>
        </w:tc>
        <w:tc>
          <w:tcPr>
            <w:tcW w:type="dxa" w:w="734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sz w:val="20"/>
                <w:szCs w:val="20"/>
              </w:rPr>
              <w:t xml:space="preserve">Must not report into any account-operations line it audits; preserves defensibility</w:t>
            </w:r>
          </w:p>
        </w:tc>
      </w:tr>
      <w:tr>
        <w:tc>
          <w:tcPr>
            <w:tcW w:type="dxa" w:w="230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b/>
                <w:bCs/>
                <w:sz w:val="20"/>
                <w:szCs w:val="20"/>
              </w:rPr>
              <w:t xml:space="preserve">Peers</w:t>
            </w:r>
          </w:p>
        </w:tc>
        <w:tc>
          <w:tcPr>
            <w:tcW w:type="dxa" w:w="734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sz w:val="20"/>
                <w:szCs w:val="20"/>
              </w:rPr>
              <w:t xml:space="preserve">Program Directors and account leadership — a peer who examines, not a subordinate who reports</w:t>
            </w:r>
          </w:p>
        </w:tc>
      </w:tr>
      <w:tr>
        <w:tc>
          <w:tcPr>
            <w:tcW w:type="dxa" w:w="230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b/>
                <w:bCs/>
                <w:sz w:val="20"/>
                <w:szCs w:val="20"/>
              </w:rPr>
              <w:t xml:space="preserve">Authority held</w:t>
            </w:r>
          </w:p>
        </w:tc>
        <w:tc>
          <w:tcPr>
            <w:tcW w:type="dxa" w:w="734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sz w:val="20"/>
                <w:szCs w:val="20"/>
              </w:rPr>
              <w:t xml:space="preserve">Methodology authority; the deciding sign-off on disputed root-cause codes; cycle sign-off; authority to route findings to all three lanes</w:t>
            </w:r>
          </w:p>
        </w:tc>
      </w:tr>
      <w:tr>
        <w:tc>
          <w:tcPr>
            <w:tcW w:type="dxa" w:w="230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b/>
                <w:bCs/>
                <w:sz w:val="20"/>
                <w:szCs w:val="20"/>
              </w:rPr>
              <w:t xml:space="preserve">Certification</w:t>
            </w:r>
          </w:p>
        </w:tc>
        <w:tc>
          <w:tcPr>
            <w:tcW w:type="dxa" w:w="734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sz w:val="20"/>
                <w:szCs w:val="20"/>
              </w:rPr>
              <w:t xml:space="preserve">Must hold (or attain on a defined runway) Acuity Certification Level 2; Level 3 for the Lead Examiner variant</w:t>
            </w:r>
          </w:p>
        </w:tc>
      </w:tr>
    </w:tbl>
    <w:p>
      <w:pPr>
        <w:pStyle w:val="Heading1"/>
        <w:pBdr>
          <w:bottom w:val="single" w:color="17A589" w:sz="14" w:space="6"/>
        </w:pBdr>
        <w:spacing w:after="140" w:before="340"/>
      </w:pPr>
      <w:r>
        <w:rPr>
          <w:rFonts w:ascii="Arial" w:cs="Arial" w:eastAsia="Arial" w:hAnsi="Arial"/>
          <w:b/>
          <w:bCs/>
          <w:color w:val="1F3864"/>
          <w:sz w:val="30"/>
          <w:szCs w:val="30"/>
        </w:rPr>
        <w:t xml:space="preserve">4.  Core Responsibilities</w:t>
      </w:r>
    </w:p>
    <w:p>
      <w:pPr>
        <w:spacing w:after="120" w:before="0" w:line="276"/>
      </w:pPr>
      <w:r>
        <w:rPr>
          <w:sz w:val="22"/>
          <w:szCs w:val="22"/>
        </w:rPr>
        <w:t xml:space="preserve">Across the full Acuity lifecycle, the Analyst:</w:t>
      </w:r>
    </w:p>
    <w:p>
      <w:pPr>
        <w:pStyle w:val="ListParagraph"/>
        <w:numPr>
          <w:ilvl w:val="0"/>
          <w:numId w:val="2"/>
        </w:numPr>
        <w:spacing w:after="70" w:line="270"/>
      </w:pPr>
      <w:r>
        <w:rPr>
          <w:b/>
          <w:bCs/>
          <w:sz w:val="22"/>
          <w:szCs w:val="22"/>
        </w:rPr>
        <w:t xml:space="preserve">Samples. </w:t>
      </w:r>
      <w:r>
        <w:rPr>
          <w:sz w:val="22"/>
          <w:szCs w:val="22"/>
        </w:rPr>
        <w:t xml:space="preserve">Audits a defined share of the open portfolio each quarter — the standard is 8% (roughly four audits per analyst-day). High-risk files (new, high-cost, legal, or aged) are governed separately by a Claims Committee, outside the Acuity audit.</w:t>
      </w:r>
    </w:p>
    <w:p>
      <w:pPr>
        <w:pStyle w:val="ListParagraph"/>
        <w:numPr>
          <w:ilvl w:val="0"/>
          <w:numId w:val="2"/>
        </w:numPr>
        <w:spacing w:after="70" w:line="270"/>
      </w:pPr>
      <w:r>
        <w:rPr>
          <w:b/>
          <w:bCs/>
          <w:sz w:val="22"/>
          <w:szCs w:val="22"/>
        </w:rPr>
        <w:t xml:space="preserve">Diagnoses. </w:t>
      </w:r>
      <w:r>
        <w:rPr>
          <w:sz w:val="22"/>
          <w:szCs w:val="22"/>
        </w:rPr>
        <w:t xml:space="preserve">Assigns the root-cause code behind each finding, separating capability gaps from process, capacity, system, leadership, and client-driven causes.</w:t>
      </w:r>
    </w:p>
    <w:p>
      <w:pPr>
        <w:pStyle w:val="ListParagraph"/>
        <w:numPr>
          <w:ilvl w:val="0"/>
          <w:numId w:val="2"/>
        </w:numPr>
        <w:spacing w:after="70" w:line="270"/>
      </w:pPr>
      <w:r>
        <w:rPr>
          <w:b/>
          <w:bCs/>
          <w:sz w:val="22"/>
          <w:szCs w:val="22"/>
        </w:rPr>
        <w:t xml:space="preserve">Routes. </w:t>
      </w:r>
      <w:r>
        <w:rPr>
          <w:sz w:val="22"/>
          <w:szCs w:val="22"/>
        </w:rPr>
        <w:t xml:space="preserve">Directs each finding to the lane that owns it — Adjuster, Client, or Sedgwick — with the evidence to defend the routing.</w:t>
      </w:r>
    </w:p>
    <w:p>
      <w:pPr>
        <w:pStyle w:val="ListParagraph"/>
        <w:numPr>
          <w:ilvl w:val="0"/>
          <w:numId w:val="2"/>
        </w:numPr>
        <w:spacing w:after="70" w:line="270"/>
      </w:pPr>
      <w:r>
        <w:rPr>
          <w:b/>
          <w:bCs/>
          <w:sz w:val="22"/>
          <w:szCs w:val="22"/>
        </w:rPr>
        <w:t xml:space="preserve">Governs. </w:t>
      </w:r>
      <w:r>
        <w:rPr>
          <w:sz w:val="22"/>
          <w:szCs w:val="22"/>
        </w:rPr>
        <w:t xml:space="preserve">Carries each finding to a recorded decision — accept, defer, or formally decline — with named, dated sign-off. A finding the owning lane declines remains open and tracked, not closed.</w:t>
      </w:r>
    </w:p>
    <w:p>
      <w:pPr>
        <w:pStyle w:val="ListParagraph"/>
        <w:numPr>
          <w:ilvl w:val="0"/>
          <w:numId w:val="2"/>
        </w:numPr>
        <w:spacing w:after="70" w:line="270"/>
      </w:pPr>
      <w:r>
        <w:rPr>
          <w:b/>
          <w:bCs/>
          <w:sz w:val="22"/>
          <w:szCs w:val="22"/>
        </w:rPr>
        <w:t xml:space="preserve">Verifies. </w:t>
      </w:r>
      <w:r>
        <w:rPr>
          <w:sz w:val="22"/>
          <w:szCs w:val="22"/>
        </w:rPr>
        <w:t xml:space="preserve">Maintains the effectiveness ledger — proving whether each commitment moved the outcome it promised — and runs the cycle-open gate before any cycle closes.</w:t>
      </w:r>
    </w:p>
    <w:p>
      <w:pPr>
        <w:pStyle w:val="ListParagraph"/>
        <w:numPr>
          <w:ilvl w:val="0"/>
          <w:numId w:val="2"/>
        </w:numPr>
        <w:spacing w:after="70" w:line="270"/>
      </w:pPr>
      <w:r>
        <w:rPr>
          <w:b/>
          <w:bCs/>
          <w:sz w:val="22"/>
          <w:szCs w:val="22"/>
        </w:rPr>
        <w:t xml:space="preserve">Quantifies. </w:t>
      </w:r>
      <w:r>
        <w:rPr>
          <w:sz w:val="22"/>
          <w:szCs w:val="22"/>
        </w:rPr>
        <w:t xml:space="preserve">Produces ROI on two layers — a measured directional result, plus an optional dollar estimate with stated inputs and a confidence label (High, Indicative, or Directional).</w:t>
      </w:r>
    </w:p>
    <w:p>
      <w:pPr>
        <w:pStyle w:val="ListParagraph"/>
        <w:numPr>
          <w:ilvl w:val="0"/>
          <w:numId w:val="2"/>
        </w:numPr>
        <w:spacing w:after="70" w:line="270"/>
      </w:pPr>
      <w:r>
        <w:rPr>
          <w:b/>
          <w:bCs/>
          <w:sz w:val="22"/>
          <w:szCs w:val="22"/>
        </w:rPr>
        <w:t xml:space="preserve">Reports &amp; represents. </w:t>
      </w:r>
      <w:r>
        <w:rPr>
          <w:sz w:val="22"/>
          <w:szCs w:val="22"/>
        </w:rPr>
        <w:t xml:space="preserve">Authors the analyst narrative and presents findings and trajectory to clients and leadership.</w:t>
      </w:r>
    </w:p>
    <w:p>
      <w:pPr>
        <w:pStyle w:val="ListParagraph"/>
        <w:numPr>
          <w:ilvl w:val="0"/>
          <w:numId w:val="2"/>
        </w:numPr>
        <w:spacing w:after="70" w:line="270"/>
      </w:pPr>
      <w:r>
        <w:rPr>
          <w:b/>
          <w:bCs/>
          <w:sz w:val="22"/>
          <w:szCs w:val="22"/>
        </w:rPr>
        <w:t xml:space="preserve">Calibrates &amp; develops. </w:t>
      </w:r>
      <w:r>
        <w:rPr>
          <w:sz w:val="22"/>
          <w:szCs w:val="22"/>
        </w:rPr>
        <w:t xml:space="preserve">At Level 3, maintains the calibration standard and certifies and recalibrates other practitioners.</w:t>
      </w:r>
    </w:p>
    <w:p>
      <w:pPr>
        <w:pStyle w:val="ListParagraph"/>
        <w:numPr>
          <w:ilvl w:val="0"/>
          <w:numId w:val="2"/>
        </w:numPr>
        <w:spacing w:after="70" w:line="270"/>
      </w:pPr>
      <w:r>
        <w:rPr>
          <w:b/>
          <w:bCs/>
          <w:sz w:val="22"/>
          <w:szCs w:val="22"/>
        </w:rPr>
        <w:t xml:space="preserve">Evolves the methodology. </w:t>
      </w:r>
      <w:r>
        <w:rPr>
          <w:sz w:val="22"/>
          <w:szCs w:val="22"/>
        </w:rPr>
        <w:t xml:space="preserve">Stewards the taxonomy, the standards log, and the program’s institutional learning over time.</w:t>
      </w:r>
    </w:p>
    <w:p>
      <w:pPr>
        <w:pStyle w:val="Heading1"/>
        <w:pBdr>
          <w:bottom w:val="single" w:color="17A589" w:sz="14" w:space="6"/>
        </w:pBdr>
        <w:spacing w:after="140" w:before="340"/>
      </w:pPr>
      <w:r>
        <w:rPr>
          <w:rFonts w:ascii="Arial" w:cs="Arial" w:eastAsia="Arial" w:hAnsi="Arial"/>
          <w:b/>
          <w:bCs/>
          <w:color w:val="1F3864"/>
          <w:sz w:val="30"/>
          <w:szCs w:val="30"/>
        </w:rPr>
        <w:t xml:space="preserve">5.  The Particular Skill Set</w:t>
      </w:r>
    </w:p>
    <w:p>
      <w:pPr>
        <w:spacing w:after="120" w:before="0" w:line="276"/>
      </w:pPr>
      <w:r>
        <w:rPr>
          <w:sz w:val="22"/>
          <w:szCs w:val="22"/>
        </w:rPr>
        <w:t xml:space="preserve">The role demands an unusual combination. Few candidates hold all of it; the rarity is precisely why the role is distinct and senior. Each domain below is essential, not nice-to-have.</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3000"/>
        <w:gridCol w:w="5240"/>
        <w:gridCol w:w="1400"/>
      </w:tblGrid>
      <w:tr>
        <w:trPr>
          <w:tblHeader/>
        </w:trPr>
        <w:tc>
          <w:tcPr>
            <w:tcW w:type="dxa" w:w="3000"/>
            <w:tcBorders>
              <w:top w:val="single" w:color="C9D2E0" w:sz="4"/>
              <w:left w:val="single" w:color="C9D2E0" w:sz="4"/>
              <w:bottom w:val="single" w:color="C9D2E0" w:sz="4"/>
              <w:right w:val="single" w:color="C9D2E0" w:sz="4"/>
            </w:tcBorders>
            <w:shd w:fill="1F3864" w:val="clear"/>
            <w:tcMar>
              <w:top w:type="dxa" w:w="70"/>
              <w:left w:type="dxa" w:w="110"/>
              <w:bottom w:type="dxa" w:w="70"/>
              <w:right w:type="dxa" w:w="110"/>
            </w:tcMar>
            <w:vAlign w:val="center"/>
          </w:tcPr>
          <w:p>
            <w:pPr>
              <w:spacing w:after="0" w:line="260"/>
            </w:pPr>
            <w:r>
              <w:rPr>
                <w:b/>
                <w:bCs/>
                <w:color w:val="FFFFFF"/>
                <w:sz w:val="20"/>
                <w:szCs w:val="20"/>
              </w:rPr>
              <w:t xml:space="preserve">Skill domain</w:t>
            </w:r>
          </w:p>
        </w:tc>
        <w:tc>
          <w:tcPr>
            <w:tcW w:type="dxa" w:w="5240"/>
            <w:tcBorders>
              <w:top w:val="single" w:color="C9D2E0" w:sz="4"/>
              <w:left w:val="single" w:color="C9D2E0" w:sz="4"/>
              <w:bottom w:val="single" w:color="C9D2E0" w:sz="4"/>
              <w:right w:val="single" w:color="C9D2E0" w:sz="4"/>
            </w:tcBorders>
            <w:shd w:fill="1F3864" w:val="clear"/>
            <w:tcMar>
              <w:top w:type="dxa" w:w="70"/>
              <w:left w:type="dxa" w:w="110"/>
              <w:bottom w:type="dxa" w:w="70"/>
              <w:right w:type="dxa" w:w="110"/>
            </w:tcMar>
            <w:vAlign w:val="center"/>
          </w:tcPr>
          <w:p>
            <w:pPr>
              <w:spacing w:after="0" w:line="260"/>
            </w:pPr>
            <w:r>
              <w:rPr>
                <w:b/>
                <w:bCs/>
                <w:color w:val="FFFFFF"/>
                <w:sz w:val="20"/>
                <w:szCs w:val="20"/>
              </w:rPr>
              <w:t xml:space="preserve">Why it is essential</w:t>
            </w:r>
          </w:p>
        </w:tc>
        <w:tc>
          <w:tcPr>
            <w:tcW w:type="dxa" w:w="1400"/>
            <w:tcBorders>
              <w:top w:val="single" w:color="C9D2E0" w:sz="4"/>
              <w:left w:val="single" w:color="C9D2E0" w:sz="4"/>
              <w:bottom w:val="single" w:color="C9D2E0" w:sz="4"/>
              <w:right w:val="single" w:color="C9D2E0" w:sz="4"/>
            </w:tcBorders>
            <w:shd w:fill="1F3864" w:val="clear"/>
            <w:tcMar>
              <w:top w:type="dxa" w:w="70"/>
              <w:left w:type="dxa" w:w="110"/>
              <w:bottom w:type="dxa" w:w="70"/>
              <w:right w:type="dxa" w:w="110"/>
            </w:tcMar>
            <w:vAlign w:val="center"/>
          </w:tcPr>
          <w:p>
            <w:pPr>
              <w:spacing w:after="0" w:line="260"/>
            </w:pPr>
            <w:r>
              <w:rPr>
                <w:b/>
                <w:bCs/>
                <w:color w:val="FFFFFF"/>
                <w:sz w:val="20"/>
                <w:szCs w:val="20"/>
              </w:rPr>
              <w:t xml:space="preserve">Depth</w:t>
            </w:r>
          </w:p>
        </w:tc>
      </w:tr>
      <w:tr>
        <w:tc>
          <w:tcPr>
            <w:tcW w:type="dxa" w:w="300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b/>
                <w:bCs/>
                <w:sz w:val="20"/>
                <w:szCs w:val="20"/>
              </w:rPr>
              <w:t xml:space="preserve">Multi-jurisdictional WC expertise</w:t>
            </w:r>
          </w:p>
        </w:tc>
        <w:tc>
          <w:tcPr>
            <w:tcW w:type="dxa" w:w="524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sz w:val="20"/>
                <w:szCs w:val="20"/>
              </w:rPr>
              <w:t xml:space="preserve">Cannot diagnose a cause without deep command of adjudication, reserving, RTW, and provincial legislative nuance.</w:t>
            </w:r>
          </w:p>
        </w:tc>
        <w:tc>
          <w:tcPr>
            <w:tcW w:type="dxa" w:w="140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sz w:val="20"/>
                <w:szCs w:val="20"/>
              </w:rPr>
              <w:t xml:space="preserve">Expert</w:t>
            </w:r>
          </w:p>
        </w:tc>
      </w:tr>
      <w:tr>
        <w:tc>
          <w:tcPr>
            <w:tcW w:type="dxa" w:w="300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b/>
                <w:bCs/>
                <w:sz w:val="20"/>
                <w:szCs w:val="20"/>
              </w:rPr>
              <w:t xml:space="preserve">Diagnostic / root-cause reasoning</w:t>
            </w:r>
          </w:p>
        </w:tc>
        <w:tc>
          <w:tcPr>
            <w:tcW w:type="dxa" w:w="524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sz w:val="20"/>
                <w:szCs w:val="20"/>
              </w:rPr>
              <w:t xml:space="preserve">The core act: distinguishing a skill cause from a system or client cause under ambiguity.</w:t>
            </w:r>
          </w:p>
        </w:tc>
        <w:tc>
          <w:tcPr>
            <w:tcW w:type="dxa" w:w="140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sz w:val="20"/>
                <w:szCs w:val="20"/>
              </w:rPr>
              <w:t xml:space="preserve">Expert</w:t>
            </w:r>
          </w:p>
        </w:tc>
      </w:tr>
      <w:tr>
        <w:tc>
          <w:tcPr>
            <w:tcW w:type="dxa" w:w="300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b/>
                <w:bCs/>
                <w:sz w:val="20"/>
                <w:szCs w:val="20"/>
              </w:rPr>
              <w:t xml:space="preserve">Governance &amp; accountability judgment</w:t>
            </w:r>
          </w:p>
        </w:tc>
        <w:tc>
          <w:tcPr>
            <w:tcW w:type="dxa" w:w="524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sz w:val="20"/>
                <w:szCs w:val="20"/>
              </w:rPr>
              <w:t xml:space="preserve">Routing, sign-off discipline, and defensibility — including labour and legal sensitivity.</w:t>
            </w:r>
          </w:p>
        </w:tc>
        <w:tc>
          <w:tcPr>
            <w:tcW w:type="dxa" w:w="140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sz w:val="20"/>
                <w:szCs w:val="20"/>
              </w:rPr>
              <w:t xml:space="preserve">Expert</w:t>
            </w:r>
          </w:p>
        </w:tc>
      </w:tr>
      <w:tr>
        <w:tc>
          <w:tcPr>
            <w:tcW w:type="dxa" w:w="300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b/>
                <w:bCs/>
                <w:sz w:val="20"/>
                <w:szCs w:val="20"/>
              </w:rPr>
              <w:t xml:space="preserve">Quantitative &amp; analytical</w:t>
            </w:r>
          </w:p>
        </w:tc>
        <w:tc>
          <w:tcPr>
            <w:tcW w:type="dxa" w:w="524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sz w:val="20"/>
                <w:szCs w:val="20"/>
              </w:rPr>
              <w:t xml:space="preserve">Sampling, inter-rater reliability, ROI modelling with stated assumptions.</w:t>
            </w:r>
          </w:p>
        </w:tc>
        <w:tc>
          <w:tcPr>
            <w:tcW w:type="dxa" w:w="140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sz w:val="20"/>
                <w:szCs w:val="20"/>
              </w:rPr>
              <w:t xml:space="preserve">Advanced</w:t>
            </w:r>
          </w:p>
        </w:tc>
      </w:tr>
      <w:tr>
        <w:tc>
          <w:tcPr>
            <w:tcW w:type="dxa" w:w="300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b/>
                <w:bCs/>
                <w:sz w:val="20"/>
                <w:szCs w:val="20"/>
              </w:rPr>
              <w:t xml:space="preserve">Independence &amp; nerve</w:t>
            </w:r>
          </w:p>
        </w:tc>
        <w:tc>
          <w:tcPr>
            <w:tcW w:type="dxa" w:w="524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sz w:val="20"/>
                <w:szCs w:val="20"/>
              </w:rPr>
              <w:t xml:space="preserve">The judgment and composure to route a finding to a client or to leadership and defend it.</w:t>
            </w:r>
          </w:p>
        </w:tc>
        <w:tc>
          <w:tcPr>
            <w:tcW w:type="dxa" w:w="140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sz w:val="20"/>
                <w:szCs w:val="20"/>
              </w:rPr>
              <w:t xml:space="preserve">Expert</w:t>
            </w:r>
          </w:p>
        </w:tc>
      </w:tr>
      <w:tr>
        <w:tc>
          <w:tcPr>
            <w:tcW w:type="dxa" w:w="300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b/>
                <w:bCs/>
                <w:sz w:val="20"/>
                <w:szCs w:val="20"/>
              </w:rPr>
              <w:t xml:space="preserve">Executive communication</w:t>
            </w:r>
          </w:p>
        </w:tc>
        <w:tc>
          <w:tcPr>
            <w:tcW w:type="dxa" w:w="524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sz w:val="20"/>
                <w:szCs w:val="20"/>
              </w:rPr>
              <w:t xml:space="preserve">Writing the analyst voice and holding the room with client executives and leadership.</w:t>
            </w:r>
          </w:p>
        </w:tc>
        <w:tc>
          <w:tcPr>
            <w:tcW w:type="dxa" w:w="140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sz w:val="20"/>
                <w:szCs w:val="20"/>
              </w:rPr>
              <w:t xml:space="preserve">Advanced</w:t>
            </w:r>
          </w:p>
        </w:tc>
      </w:tr>
      <w:tr>
        <w:tc>
          <w:tcPr>
            <w:tcW w:type="dxa" w:w="300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b/>
                <w:bCs/>
                <w:sz w:val="20"/>
                <w:szCs w:val="20"/>
              </w:rPr>
              <w:t xml:space="preserve">Toolcraft</w:t>
            </w:r>
          </w:p>
        </w:tc>
        <w:tc>
          <w:tcPr>
            <w:tcW w:type="dxa" w:w="524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sz w:val="20"/>
                <w:szCs w:val="20"/>
              </w:rPr>
              <w:t xml:space="preserve">Fluent operation of the Acuity instruments and their data handoffs.</w:t>
            </w:r>
          </w:p>
        </w:tc>
        <w:tc>
          <w:tcPr>
            <w:tcW w:type="dxa" w:w="1400"/>
            <w:tcBorders>
              <w:top w:val="single" w:color="C9D2E0" w:sz="4"/>
              <w:left w:val="single" w:color="C9D2E0" w:sz="4"/>
              <w:bottom w:val="single" w:color="C9D2E0" w:sz="4"/>
              <w:right w:val="single" w:color="C9D2E0" w:sz="4"/>
            </w:tcBorders>
            <w:tcMar>
              <w:top w:type="dxa" w:w="70"/>
              <w:left w:type="dxa" w:w="110"/>
              <w:bottom w:type="dxa" w:w="70"/>
              <w:right w:type="dxa" w:w="110"/>
            </w:tcMar>
            <w:vAlign w:val="center"/>
          </w:tcPr>
          <w:p>
            <w:pPr>
              <w:spacing w:after="0" w:line="260"/>
            </w:pPr>
            <w:r>
              <w:rPr>
                <w:sz w:val="20"/>
                <w:szCs w:val="20"/>
              </w:rPr>
              <w:t xml:space="preserve">Advanced</w:t>
            </w:r>
          </w:p>
        </w:tc>
      </w:tr>
      <w:tr>
        <w:tc>
          <w:tcPr>
            <w:tcW w:type="dxa" w:w="300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b/>
                <w:bCs/>
                <w:sz w:val="20"/>
                <w:szCs w:val="20"/>
              </w:rPr>
              <w:t xml:space="preserve">Calibration &amp; coaching</w:t>
            </w:r>
          </w:p>
        </w:tc>
        <w:tc>
          <w:tcPr>
            <w:tcW w:type="dxa" w:w="524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sz w:val="20"/>
                <w:szCs w:val="20"/>
              </w:rPr>
              <w:t xml:space="preserve">Teaching, calibrating, and certifying others (Level 3).</w:t>
            </w:r>
          </w:p>
        </w:tc>
        <w:tc>
          <w:tcPr>
            <w:tcW w:type="dxa" w:w="1400"/>
            <w:tcBorders>
              <w:top w:val="single" w:color="C9D2E0" w:sz="4"/>
              <w:left w:val="single" w:color="C9D2E0" w:sz="4"/>
              <w:bottom w:val="single" w:color="C9D2E0" w:sz="4"/>
              <w:right w:val="single" w:color="C9D2E0" w:sz="4"/>
            </w:tcBorders>
            <w:shd w:fill="F6F8FB" w:val="clear"/>
            <w:tcMar>
              <w:top w:type="dxa" w:w="70"/>
              <w:left w:type="dxa" w:w="110"/>
              <w:bottom w:type="dxa" w:w="70"/>
              <w:right w:type="dxa" w:w="110"/>
            </w:tcMar>
            <w:vAlign w:val="center"/>
          </w:tcPr>
          <w:p>
            <w:pPr>
              <w:spacing w:after="0" w:line="260"/>
            </w:pPr>
            <w:r>
              <w:rPr>
                <w:sz w:val="20"/>
                <w:szCs w:val="20"/>
              </w:rPr>
              <w:t xml:space="preserve">Advanced (L3)</w:t>
            </w:r>
          </w:p>
        </w:tc>
      </w:tr>
    </w:tbl>
    <w:p>
      <w:pPr>
        <w:pStyle w:val="Heading1"/>
        <w:pBdr>
          <w:bottom w:val="single" w:color="17A589" w:sz="14" w:space="6"/>
        </w:pBdr>
        <w:spacing w:after="140" w:before="340"/>
      </w:pPr>
      <w:r>
        <w:rPr>
          <w:rFonts w:ascii="Arial" w:cs="Arial" w:eastAsia="Arial" w:hAnsi="Arial"/>
          <w:b/>
          <w:bCs/>
          <w:color w:val="1F3864"/>
          <w:sz w:val="30"/>
          <w:szCs w:val="30"/>
        </w:rPr>
        <w:t xml:space="preserve">6.  Qualifications &amp; Experience</w:t>
      </w:r>
    </w:p>
    <w:p>
      <w:pPr>
        <w:pStyle w:val="ListParagraph"/>
        <w:numPr>
          <w:ilvl w:val="0"/>
          <w:numId w:val="2"/>
        </w:numPr>
        <w:spacing w:after="70" w:line="270"/>
      </w:pPr>
      <w:r>
        <w:rPr>
          <w:sz w:val="22"/>
          <w:szCs w:val="22"/>
        </w:rPr>
        <w:t xml:space="preserve">Substantial Canadian claims / WC experience across multiple jurisdictions, with reserving and return-to-work depth.</w:t>
      </w:r>
    </w:p>
    <w:p>
      <w:pPr>
        <w:pStyle w:val="ListParagraph"/>
        <w:numPr>
          <w:ilvl w:val="0"/>
          <w:numId w:val="2"/>
        </w:numPr>
        <w:spacing w:after="70" w:line="270"/>
      </w:pPr>
      <w:r>
        <w:rPr>
          <w:b/>
          <w:bCs/>
          <w:sz w:val="22"/>
          <w:szCs w:val="22"/>
        </w:rPr>
        <w:t xml:space="preserve">Professional designation</w:t>
      </w:r>
      <w:r>
        <w:rPr>
          <w:sz w:val="22"/>
          <w:szCs w:val="22"/>
        </w:rPr>
        <w:t xml:space="preserve"> (e.g. CIP/FCIP) or equivalent demonstrated standing.</w:t>
      </w:r>
    </w:p>
    <w:p>
      <w:pPr>
        <w:pStyle w:val="ListParagraph"/>
        <w:numPr>
          <w:ilvl w:val="0"/>
          <w:numId w:val="2"/>
        </w:numPr>
        <w:spacing w:after="70" w:line="270"/>
      </w:pPr>
      <w:r>
        <w:rPr>
          <w:sz w:val="22"/>
          <w:szCs w:val="22"/>
        </w:rPr>
        <w:t xml:space="preserve">Demonstrated diagnostic and analytical capability — evidence of root-cause work, not just file review.</w:t>
      </w:r>
    </w:p>
    <w:p>
      <w:pPr>
        <w:pStyle w:val="ListParagraph"/>
        <w:numPr>
          <w:ilvl w:val="0"/>
          <w:numId w:val="2"/>
        </w:numPr>
        <w:spacing w:after="70" w:line="270"/>
      </w:pPr>
      <w:r>
        <w:rPr>
          <w:sz w:val="22"/>
          <w:szCs w:val="22"/>
        </w:rPr>
        <w:t xml:space="preserve">Track record of credibility with senior client and internal stakeholders.</w:t>
      </w:r>
    </w:p>
    <w:p>
      <w:pPr>
        <w:pStyle w:val="ListParagraph"/>
        <w:numPr>
          <w:ilvl w:val="0"/>
          <w:numId w:val="2"/>
        </w:numPr>
        <w:spacing w:after="70" w:line="270"/>
      </w:pPr>
      <w:r>
        <w:rPr>
          <w:b/>
          <w:bCs/>
          <w:sz w:val="22"/>
          <w:szCs w:val="22"/>
        </w:rPr>
        <w:t xml:space="preserve">Acuity Certification </w:t>
      </w:r>
      <w:r>
        <w:rPr>
          <w:sz w:val="22"/>
          <w:szCs w:val="22"/>
        </w:rPr>
        <w:t xml:space="preserve">Level 2 held, or attained on a defined runway (Level 3 for the Lead Examiner variant) — see the companion Certification Process.</w:t>
      </w:r>
    </w:p>
    <w:p>
      <w:pPr>
        <w:pStyle w:val="Heading1"/>
        <w:pBdr>
          <w:bottom w:val="single" w:color="17A589" w:sz="14" w:space="6"/>
        </w:pBdr>
        <w:spacing w:after="140" w:before="340"/>
      </w:pPr>
      <w:r>
        <w:rPr>
          <w:rFonts w:ascii="Arial" w:cs="Arial" w:eastAsia="Arial" w:hAnsi="Arial"/>
          <w:b/>
          <w:bCs/>
          <w:color w:val="1F3864"/>
          <w:sz w:val="30"/>
          <w:szCs w:val="30"/>
        </w:rPr>
        <w:t xml:space="preserve">7.  What This Role Is Not</w:t>
      </w:r>
    </w:p>
    <w:p>
      <w:pPr>
        <w:spacing w:after="120" w:before="0" w:line="276"/>
      </w:pPr>
      <w:r>
        <w:rPr>
          <w:sz w:val="22"/>
          <w:szCs w:val="22"/>
        </w:rPr>
        <w:t xml:space="preserve">To position the role accurately, it is as important to state what it is not. The Acuity Analyst is not:</w:t>
      </w:r>
    </w:p>
    <w:p>
      <w:pPr>
        <w:pStyle w:val="ListParagraph"/>
        <w:numPr>
          <w:ilvl w:val="0"/>
          <w:numId w:val="2"/>
        </w:numPr>
        <w:spacing w:after="70" w:line="270"/>
      </w:pPr>
      <w:r>
        <w:rPr>
          <w:b/>
          <w:bCs/>
          <w:sz w:val="22"/>
          <w:szCs w:val="22"/>
        </w:rPr>
        <w:t xml:space="preserve">A QA reviewer </w:t>
      </w:r>
      <w:r>
        <w:rPr>
          <w:sz w:val="22"/>
          <w:szCs w:val="22"/>
        </w:rPr>
        <w:t xml:space="preserve">checking files against a checklist and scoring compliance.</w:t>
      </w:r>
    </w:p>
    <w:p>
      <w:pPr>
        <w:pStyle w:val="ListParagraph"/>
        <w:numPr>
          <w:ilvl w:val="0"/>
          <w:numId w:val="2"/>
        </w:numPr>
        <w:spacing w:after="70" w:line="270"/>
      </w:pPr>
      <w:r>
        <w:rPr>
          <w:b/>
          <w:bCs/>
          <w:sz w:val="22"/>
          <w:szCs w:val="22"/>
        </w:rPr>
        <w:t xml:space="preserve">A senior adjuster </w:t>
      </w:r>
      <w:r>
        <w:rPr>
          <w:sz w:val="22"/>
          <w:szCs w:val="22"/>
        </w:rPr>
        <w:t xml:space="preserve">with oversight duties bolted on.</w:t>
      </w:r>
    </w:p>
    <w:p>
      <w:pPr>
        <w:pStyle w:val="ListParagraph"/>
        <w:numPr>
          <w:ilvl w:val="0"/>
          <w:numId w:val="2"/>
        </w:numPr>
        <w:spacing w:after="70" w:line="270"/>
      </w:pPr>
      <w:r>
        <w:rPr>
          <w:b/>
          <w:bCs/>
          <w:sz w:val="22"/>
          <w:szCs w:val="22"/>
        </w:rPr>
        <w:t xml:space="preserve">A reporting analyst </w:t>
      </w:r>
      <w:r>
        <w:rPr>
          <w:sz w:val="22"/>
          <w:szCs w:val="22"/>
        </w:rPr>
        <w:t xml:space="preserve">compiling metrics without diagnosing cause or routing accountability.</w:t>
      </w:r>
    </w:p>
    <w:p>
      <w:pPr>
        <w:pStyle w:val="ListParagraph"/>
        <w:numPr>
          <w:ilvl w:val="0"/>
          <w:numId w:val="2"/>
        </w:numPr>
        <w:spacing w:after="70" w:line="270"/>
      </w:pPr>
      <w:r>
        <w:rPr>
          <w:b/>
          <w:bCs/>
          <w:sz w:val="22"/>
          <w:szCs w:val="22"/>
        </w:rPr>
        <w:t xml:space="preserve">The owner of high-risk-file review </w:t>
      </w:r>
      <w:r>
        <w:rPr>
          <w:sz w:val="22"/>
          <w:szCs w:val="22"/>
        </w:rPr>
        <w:t xml:space="preserve">— new, high-cost, legal, and aged files sit with a separate Claims Committee, not the Acuity audit.</w:t>
      </w:r>
    </w:p>
    <w:p>
      <w:pPr>
        <w:spacing w:after="120" w:before="0" w:line="276"/>
      </w:pPr>
      <w:r>
        <w:rPr>
          <w:i/>
          <w:iCs/>
          <w:color w:val="5C6373"/>
          <w:sz w:val="22"/>
          <w:szCs w:val="22"/>
        </w:rPr>
        <w:t xml:space="preserve">It is a diagnostic-governance authority. Conflating it with any of the above is the most common way the function is mis-scoped — and the fastest way to strip it of the independence and seniority that make it work.</w:t>
      </w:r>
    </w:p>
    <w:p>
      <w:pPr>
        <w:pStyle w:val="Heading1"/>
        <w:pBdr>
          <w:bottom w:val="single" w:color="17A589" w:sz="14" w:space="6"/>
        </w:pBdr>
        <w:spacing w:after="140" w:before="340"/>
      </w:pPr>
      <w:r>
        <w:rPr>
          <w:rFonts w:ascii="Arial" w:cs="Arial" w:eastAsia="Arial" w:hAnsi="Arial"/>
          <w:b/>
          <w:bCs/>
          <w:color w:val="1F3864"/>
          <w:sz w:val="30"/>
          <w:szCs w:val="30"/>
        </w:rPr>
        <w:t xml:space="preserve">8.  How the Role Is Measured</w:t>
      </w:r>
    </w:p>
    <w:p>
      <w:pPr>
        <w:spacing w:after="120" w:before="0" w:line="276"/>
      </w:pPr>
      <w:r>
        <w:rPr>
          <w:sz w:val="22"/>
          <w:szCs w:val="22"/>
        </w:rPr>
        <w:t xml:space="preserve">The Analyst is held to the integrity and impact of the program, not to audit volume alone:</w:t>
      </w:r>
    </w:p>
    <w:p>
      <w:pPr>
        <w:pStyle w:val="ListParagraph"/>
        <w:numPr>
          <w:ilvl w:val="0"/>
          <w:numId w:val="2"/>
        </w:numPr>
        <w:spacing w:after="70" w:line="270"/>
      </w:pPr>
      <w:r>
        <w:rPr>
          <w:sz w:val="22"/>
          <w:szCs w:val="22"/>
        </w:rPr>
        <w:t xml:space="preserve">Calibration agreement maintained at or above the 80% standard.</w:t>
      </w:r>
    </w:p>
    <w:p>
      <w:pPr>
        <w:pStyle w:val="ListParagraph"/>
        <w:numPr>
          <w:ilvl w:val="0"/>
          <w:numId w:val="2"/>
        </w:numPr>
        <w:spacing w:after="70" w:line="270"/>
      </w:pPr>
      <w:r>
        <w:rPr>
          <w:sz w:val="22"/>
          <w:szCs w:val="22"/>
        </w:rPr>
        <w:t xml:space="preserve">Effectiveness rate — share of accepted commitments verified as achieved over time.</w:t>
      </w:r>
    </w:p>
    <w:p>
      <w:pPr>
        <w:pStyle w:val="ListParagraph"/>
        <w:numPr>
          <w:ilvl w:val="0"/>
          <w:numId w:val="2"/>
        </w:numPr>
        <w:spacing w:after="70" w:line="270"/>
      </w:pPr>
      <w:r>
        <w:rPr>
          <w:sz w:val="22"/>
          <w:szCs w:val="22"/>
        </w:rPr>
        <w:t xml:space="preserve">Defensibility — findings that withstand client, adjuster, and leadership challenge without reversal.</w:t>
      </w:r>
    </w:p>
    <w:p>
      <w:pPr>
        <w:pStyle w:val="ListParagraph"/>
        <w:numPr>
          <w:ilvl w:val="0"/>
          <w:numId w:val="2"/>
        </w:numPr>
        <w:spacing w:after="70" w:line="270"/>
      </w:pPr>
      <w:r>
        <w:rPr>
          <w:sz w:val="22"/>
          <w:szCs w:val="22"/>
        </w:rPr>
        <w:t xml:space="preserve">Program trajectory — sustained improvement in the program score across cycles.</w:t>
      </w:r>
    </w:p>
    <w:p>
      <w:pPr>
        <w:pStyle w:val="ListParagraph"/>
        <w:numPr>
          <w:ilvl w:val="0"/>
          <w:numId w:val="2"/>
        </w:numPr>
        <w:spacing w:after="70" w:line="270"/>
      </w:pPr>
      <w:r>
        <w:rPr>
          <w:sz w:val="22"/>
          <w:szCs w:val="22"/>
        </w:rPr>
        <w:t xml:space="preserve">Governance completeness — sign-off chains intact and cycle-open gate honoured every cycle.</w:t>
      </w:r>
    </w:p>
    <w:p>
      <w:pPr>
        <w:pStyle w:val="Heading1"/>
        <w:pBdr>
          <w:bottom w:val="single" w:color="17A589" w:sz="14" w:space="6"/>
        </w:pBdr>
        <w:spacing w:after="140" w:before="340"/>
      </w:pPr>
      <w:r>
        <w:rPr>
          <w:rFonts w:ascii="Arial" w:cs="Arial" w:eastAsia="Arial" w:hAnsi="Arial"/>
          <w:b/>
          <w:bCs/>
          <w:color w:val="1F3864"/>
          <w:sz w:val="30"/>
          <w:szCs w:val="30"/>
        </w:rPr>
        <w:t xml:space="preserve">9.  Settled &amp; Open Items</w:t>
      </w:r>
    </w:p>
    <w:p>
      <w:pPr>
        <w:spacing w:after="120" w:before="0" w:line="276"/>
      </w:pPr>
      <w:r>
        <w:rPr>
          <w:sz w:val="22"/>
          <w:szCs w:val="22"/>
        </w:rPr>
        <w:t xml:space="preserve">The reporting line and the role’s operating parameters are now set in the program’s methodology standards. The variables that remain — chiefly title, band, and compensation — are organizational and commercial calls for leadership.</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9640"/>
      </w:tblGrid>
      <w:tr>
        <w:tc>
          <w:tcPr>
            <w:tcW w:type="dxa" w:w="9640"/>
            <w:tcBorders>
              <w:top w:val="single" w:color="3FB99E" w:sz="4"/>
              <w:left w:val="single" w:color="3FB99E" w:sz="18"/>
              <w:bottom w:val="single" w:color="3FB99E" w:sz="4"/>
              <w:right w:val="single" w:color="3FB99E" w:sz="4"/>
            </w:tcBorders>
            <w:shd w:fill="E7F4F0" w:val="clear"/>
            <w:tcMar>
              <w:top w:type="dxa" w:w="120"/>
              <w:left w:type="dxa" w:w="200"/>
              <w:bottom w:type="dxa" w:w="120"/>
              <w:right w:type="dxa" w:w="160"/>
            </w:tcMar>
          </w:tcPr>
          <w:p>
            <w:pPr>
              <w:spacing w:after="60"/>
            </w:pPr>
            <w:r>
              <w:rPr>
                <w:b/>
                <w:bCs/>
                <w:color w:val="17A589"/>
                <w:spacing w:val="12"/>
                <w:sz w:val="19"/>
                <w:szCs w:val="19"/>
              </w:rPr>
              <w:t xml:space="preserve">STANDARDS NOW SET — recorded</w:t>
            </w:r>
          </w:p>
          <w:p>
            <w:pPr>
              <w:pStyle w:val="ListParagraph"/>
              <w:numPr>
                <w:ilvl w:val="0"/>
                <w:numId w:val="3"/>
              </w:numPr>
              <w:spacing w:after="40" w:line="260"/>
            </w:pPr>
            <w:r>
              <w:rPr>
                <w:color w:val="333333"/>
                <w:sz w:val="21"/>
                <w:szCs w:val="21"/>
              </w:rPr>
              <w:t xml:space="preserve">Reporting line: the Audit / Governance Committee, independent of audited operations.</w:t>
            </w:r>
          </w:p>
          <w:p>
            <w:pPr>
              <w:pStyle w:val="ListParagraph"/>
              <w:numPr>
                <w:ilvl w:val="0"/>
                <w:numId w:val="3"/>
              </w:numPr>
              <w:spacing w:after="40" w:line="260"/>
            </w:pPr>
            <w:r>
              <w:rPr>
                <w:color w:val="333333"/>
                <w:sz w:val="21"/>
                <w:szCs w:val="21"/>
              </w:rPr>
              <w:t xml:space="preserve">Audit cadence and volume: quarterly cycles, with 8% of the open portfolio sampled per quarter (~4 audits per analyst-day).</w:t>
            </w:r>
          </w:p>
          <w:p>
            <w:pPr>
              <w:pStyle w:val="ListParagraph"/>
              <w:numPr>
                <w:ilvl w:val="0"/>
                <w:numId w:val="3"/>
              </w:numPr>
              <w:spacing w:after="40" w:line="260"/>
            </w:pPr>
            <w:r>
              <w:rPr>
                <w:color w:val="333333"/>
                <w:sz w:val="21"/>
                <w:szCs w:val="21"/>
              </w:rPr>
              <w:t xml:space="preserve">High-risk strata (new, high-cost, legal, aged) are governed by a separate Claims Committee, outside this role’s audit.</w:t>
            </w:r>
          </w:p>
          <w:p>
            <w:pPr>
              <w:pStyle w:val="ListParagraph"/>
              <w:numPr>
                <w:ilvl w:val="0"/>
                <w:numId w:val="3"/>
              </w:numPr>
              <w:spacing w:after="40" w:line="260"/>
            </w:pPr>
            <w:r>
              <w:rPr>
                <w:color w:val="333333"/>
                <w:sz w:val="21"/>
                <w:szCs w:val="21"/>
              </w:rPr>
              <w:t xml:space="preserve">Authority: the deciding sign-off on disputed codes, and named, dated sign-off on performance-linked findings.</w:t>
            </w:r>
          </w:p>
        </w:tc>
      </w:tr>
    </w:tbl>
    <w:p>
      <w:pPr>
        <w:spacing w:after="120" w:before="140" w:line="276"/>
      </w:pPr>
      <w:r>
        <w:rPr>
          <w:b/>
          <w:bCs/>
          <w:color w:val="1F3864"/>
          <w:sz w:val="22"/>
          <w:szCs w:val="22"/>
        </w:rPr>
        <w:t xml:space="preserve">Still to confirm:</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9640"/>
      </w:tblGrid>
      <w:tr>
        <w:tc>
          <w:tcPr>
            <w:tcW w:type="dxa" w:w="9640"/>
            <w:tcBorders>
              <w:top w:val="single" w:color="E6C200" w:sz="4"/>
              <w:left w:val="single" w:color="E6C200" w:sz="18"/>
              <w:bottom w:val="single" w:color="E6C200" w:sz="4"/>
              <w:right w:val="single" w:color="E6C200" w:sz="4"/>
            </w:tcBorders>
            <w:shd w:fill="FAEEDA" w:val="clear"/>
            <w:tcMar>
              <w:top w:type="dxa" w:w="120"/>
              <w:left w:type="dxa" w:w="200"/>
              <w:bottom w:type="dxa" w:w="120"/>
              <w:right w:type="dxa" w:w="160"/>
            </w:tcMar>
          </w:tcPr>
          <w:p>
            <w:pPr>
              <w:spacing w:after="60"/>
            </w:pPr>
            <w:r>
              <w:rPr>
                <w:b/>
                <w:bCs/>
                <w:color w:val="6B4E08"/>
                <w:spacing w:val="12"/>
                <w:sz w:val="19"/>
                <w:szCs w:val="19"/>
              </w:rPr>
              <w:t xml:space="preserve">DECISIONS REQUIRED — yours to set</w:t>
            </w:r>
          </w:p>
          <w:p>
            <w:pPr>
              <w:pStyle w:val="ListParagraph"/>
              <w:numPr>
                <w:ilvl w:val="0"/>
                <w:numId w:val="3"/>
              </w:numPr>
              <w:spacing w:after="40" w:line="260"/>
            </w:pPr>
            <w:r>
              <w:rPr>
                <w:color w:val="6B4E08"/>
                <w:sz w:val="21"/>
                <w:szCs w:val="21"/>
              </w:rPr>
              <w:t xml:space="preserve">Exact title and band (Acuity Analyst vs. Principal / Director, Claims Performance Intelligence).</w:t>
            </w:r>
          </w:p>
          <w:p>
            <w:pPr>
              <w:pStyle w:val="ListParagraph"/>
              <w:numPr>
                <w:ilvl w:val="0"/>
                <w:numId w:val="3"/>
              </w:numPr>
              <w:spacing w:after="40" w:line="260"/>
            </w:pPr>
            <w:r>
              <w:rPr>
                <w:color w:val="6B4E08"/>
                <w:sz w:val="21"/>
                <w:szCs w:val="21"/>
              </w:rPr>
              <w:t xml:space="preserve">Compensation positioning relative to Program Director and peer roles.</w:t>
            </w:r>
          </w:p>
          <w:p>
            <w:pPr>
              <w:pStyle w:val="ListParagraph"/>
              <w:numPr>
                <w:ilvl w:val="0"/>
                <w:numId w:val="3"/>
              </w:numPr>
              <w:spacing w:after="40" w:line="260"/>
            </w:pPr>
            <w:r>
              <w:rPr>
                <w:color w:val="6B4E08"/>
                <w:sz w:val="21"/>
                <w:szCs w:val="21"/>
              </w:rPr>
              <w:t xml:space="preserve">Whether the inaugural role is scoped at Level 2 or Level 3 (Lead Examiner) authority.</w:t>
            </w:r>
          </w:p>
          <w:p>
            <w:pPr>
              <w:pStyle w:val="ListParagraph"/>
              <w:numPr>
                <w:ilvl w:val="0"/>
                <w:numId w:val="3"/>
              </w:numPr>
              <w:spacing w:after="40" w:line="260"/>
            </w:pPr>
            <w:r>
              <w:rPr>
                <w:color w:val="6B4E08"/>
                <w:sz w:val="21"/>
                <w:szCs w:val="21"/>
              </w:rPr>
              <w:t xml:space="preserve">Single-account focus (e.g. Amazon Canada) vs. a multi-account / national mandate.</w:t>
            </w:r>
          </w:p>
          <w:p>
            <w:pPr>
              <w:pStyle w:val="ListParagraph"/>
              <w:numPr>
                <w:ilvl w:val="0"/>
                <w:numId w:val="3"/>
              </w:numPr>
              <w:spacing w:after="40" w:line="260"/>
            </w:pPr>
            <w:r>
              <w:rPr>
                <w:color w:val="6B4E08"/>
                <w:sz w:val="21"/>
                <w:szCs w:val="21"/>
              </w:rPr>
              <w:t xml:space="preserve">Runway permitted to attain Acuity Certification if the successful candidate is not yet certified.</w:t>
            </w:r>
          </w:p>
        </w:tc>
      </w:tr>
    </w:tbl>
    <w:sectPr>
      <w:footerReference w:type="default" r:id="rId7"/>
      <w:pgSz w:w="12240" w:h="15840" w:orient="portrait"/>
      <w:pgMar w:top="1300" w:right="1300" w:bottom="1300" w:left="13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9D2E0" w:sz="4" w:space="6"/>
      </w:pBdr>
      <w:tabs>
        <w:tab w:val="right" w:pos="9640"/>
      </w:tabs>
    </w:pPr>
    <w:r>
      <w:rPr>
        <w:color w:val="5C6373"/>
        <w:sz w:val="16"/>
        <w:szCs w:val="16"/>
      </w:rPr>
      <w:t xml:space="preserve">Acuity Analyst — Role Description  ·  Confidential — Draft for review</w:t>
    </w:r>
    <w:r>
      <w:rPr>
        <w:color w:val="5C6373"/>
        <w:sz w:val="16"/>
        <w:szCs w:val="16"/>
      </w:rPr>
      <w:t xml:space="preserve">	Page </w:t>
    </w:r>
    <w:r>
      <w:rPr>
        <w:color w:val="5C6373"/>
        <w:sz w:val="16"/>
        <w:szCs w:val="16"/>
      </w:rPr>
      <w:fldChar w:fldCharType="begin"/>
      <w:instrText xml:space="preserve">PAGE</w:instrText>
      <w:fldChar w:fldCharType="separate"/>
      <w:fldChar w:fldCharType="end"/>
    </w:r>
    <w:r>
      <w:rPr>
        <w:color w:val="5C6373"/>
        <w:sz w:val="16"/>
        <w:szCs w:val="16"/>
      </w:rPr>
      <w:t xml:space="preserve"> of </w:t>
    </w:r>
    <w:r>
      <w:rPr>
        <w:color w:val="5C6373"/>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60" w:hanging="240"/>
      </w:pPr>
    </w:lvl>
    <w:lvl w:ilvl="1" w15:tentative="1">
      <w:start w:val="1"/>
      <w:numFmt w:val="bullet"/>
      <w:lvlText w:val="–"/>
      <w:lvlJc w:val="left"/>
      <w:pPr>
        <w:ind w:left="920" w:hanging="240"/>
      </w:pPr>
    </w:lvl>
  </w:abstractNum>
  <w:abstractNum w:abstractNumId="3" w15:restartNumberingAfterBreak="0">
    <w:multiLevelType w:val="hybridMultilevel"/>
    <w:lvl w:ilvl="0" w15:tentative="1">
      <w:start w:val="1"/>
      <w:numFmt w:val="decimal"/>
      <w:lvlText w:val="%1."/>
      <w:lvlJc w:val="left"/>
      <w:pPr>
        <w:ind w:left="460" w:hanging="260"/>
      </w:pPr>
    </w:lvl>
  </w:abstractNum>
  <w:abstractNum w:abstractNumId="4" w15:restartNumberingAfterBreak="0">
    <w:multiLevelType w:val="hybridMultilevel"/>
    <w:lvl w:ilvl="0" w15:tentative="1">
      <w:start w:val="1"/>
      <w:numFmt w:val="bullet"/>
      <w:lvlText w:val="•"/>
      <w:lvlJc w:val="left"/>
      <w:pPr>
        <w:ind w:left="380" w:hanging="220"/>
      </w:pPr>
    </w:lvl>
  </w:abstractNum>
  <w:num w:numId="1">
    <w:abstractNumId w:val="1"/>
    <w:lvlOverride w:ilvl="0">
      <w:startOverride w:val="1"/>
    </w:lvlOverride>
  </w:num>
  <w:num w:numId="2">
    <w:abstractNumId w:val="2"/>
    <w:lvlOverride w:ilvl="0">
      <w:startOverride w:val="1"/>
    </w:lvlOverride>
  </w:num>
  <w:num w:numId="3">
    <w:abstractNumId w:val="4"/>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22222"/>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40" w:before="340"/>
      <w:outlineLvl w:val="0"/>
    </w:pPr>
    <w:rPr>
      <w:rFonts w:ascii="Arial" w:cs="Arial" w:eastAsia="Arial" w:hAnsi="Arial"/>
      <w:b/>
      <w:bCs/>
      <w:color w:val="1F3864"/>
      <w:sz w:val="30"/>
      <w:szCs w:val="30"/>
    </w:rPr>
  </w:style>
  <w:style w:type="paragraph" w:styleId="Heading2">
    <w:name w:val="Heading 2"/>
    <w:basedOn w:val="Normal"/>
    <w:next w:val="Normal"/>
    <w:qFormat/>
    <w:pPr>
      <w:spacing w:after="90" w:before="240"/>
      <w:outlineLvl w:val="1"/>
    </w:pPr>
    <w:rPr>
      <w:rFonts w:ascii="Arial" w:cs="Arial" w:eastAsia="Arial" w:hAnsi="Arial"/>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Acuity Analyst — Role Description</dc:title>
  <dc:creator>Acuity — Sedgwick Canada</dc:creator>
  <cp:lastModifiedBy>Un-named</cp:lastModifiedBy>
  <cp:revision>1</cp:revision>
  <dcterms:created xsi:type="dcterms:W3CDTF">2026-05-26T13:17:36.149Z</dcterms:created>
  <dcterms:modified xsi:type="dcterms:W3CDTF">2026-05-26T13:17:36.149Z</dcterms:modified>
</cp:coreProperties>
</file>

<file path=docProps/custom.xml><?xml version="1.0" encoding="utf-8"?>
<Properties xmlns="http://schemas.openxmlformats.org/officeDocument/2006/custom-properties" xmlns:vt="http://schemas.openxmlformats.org/officeDocument/2006/docPropsVTypes"/>
</file>